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2EE5027" w14:textId="77777777" w:rsidR="00542C62" w:rsidRPr="001B6C68" w:rsidRDefault="00542C62">
      <w:pPr>
        <w:rPr>
          <w:rFonts w:ascii="Arial Narrow" w:hAnsi="Arial Narrow"/>
          <w:sz w:val="21"/>
          <w:szCs w:val="21"/>
        </w:rPr>
      </w:pPr>
    </w:p>
    <w:p w14:paraId="2B85A037" w14:textId="77777777" w:rsidR="00542C62" w:rsidRPr="001B6C68" w:rsidRDefault="004B1850">
      <w:pPr>
        <w:spacing w:before="200" w:after="60"/>
        <w:jc w:val="center"/>
        <w:rPr>
          <w:rFonts w:ascii="Arial Narrow" w:hAnsi="Arial Narrow"/>
          <w:sz w:val="21"/>
          <w:szCs w:val="21"/>
        </w:rPr>
      </w:pPr>
      <w:r w:rsidRPr="001B6C68">
        <w:rPr>
          <w:rFonts w:ascii="Arial Narrow" w:hAnsi="Arial Narrow"/>
          <w:color w:val="2E5D8E"/>
          <w:sz w:val="21"/>
          <w:szCs w:val="21"/>
          <w:lang w:val="es-CO"/>
        </w:rPr>
        <w:t>SECRETARÍA DISTRITAL DE HÁBITAT</w:t>
      </w:r>
    </w:p>
    <w:p w14:paraId="406032BA" w14:textId="77777777" w:rsidR="00542C62" w:rsidRPr="001B6C68" w:rsidRDefault="004B1850" w:rsidP="003770EB">
      <w:pPr>
        <w:spacing w:before="60" w:after="200"/>
        <w:jc w:val="center"/>
        <w:rPr>
          <w:rFonts w:ascii="Arial Narrow" w:hAnsi="Arial Narrow"/>
          <w:color w:val="31849B" w:themeColor="accent5" w:themeShade="BF"/>
          <w:sz w:val="21"/>
          <w:szCs w:val="21"/>
          <w:lang w:val="es-CO"/>
        </w:rPr>
      </w:pPr>
      <w:r w:rsidRPr="001B6C68">
        <w:rPr>
          <w:rFonts w:ascii="Arial Narrow" w:hAnsi="Arial Narrow"/>
          <w:color w:val="31849B" w:themeColor="accent5" w:themeShade="BF"/>
          <w:sz w:val="21"/>
          <w:szCs w:val="21"/>
          <w:lang w:val="es-CO"/>
        </w:rPr>
        <w:t>Dirección de Servicios Públicos</w:t>
      </w:r>
    </w:p>
    <w:p w14:paraId="4586CDC1" w14:textId="38B48817" w:rsidR="00542C62" w:rsidRPr="001B6C68" w:rsidRDefault="75E3B0DD">
      <w:r w:rsidRPr="599A0894">
        <w:rPr>
          <w:rFonts w:ascii="Arial Narrow" w:hAnsi="Arial Narrow"/>
          <w:sz w:val="21"/>
          <w:szCs w:val="21"/>
        </w:rPr>
        <w:t xml:space="preserve"> </w:t>
      </w:r>
    </w:p>
    <w:p w14:paraId="5F904A31" w14:textId="77777777" w:rsidR="00542C62" w:rsidRPr="001B6C68" w:rsidRDefault="004B1850">
      <w:pPr>
        <w:spacing w:after="60"/>
        <w:jc w:val="center"/>
        <w:rPr>
          <w:rFonts w:ascii="Arial Narrow" w:hAnsi="Arial Narrow"/>
          <w:sz w:val="21"/>
          <w:szCs w:val="21"/>
        </w:rPr>
      </w:pPr>
      <w:r w:rsidRPr="001B6C68">
        <w:rPr>
          <w:rFonts w:ascii="Arial Narrow" w:hAnsi="Arial Narrow"/>
          <w:color w:val="2E5D8E"/>
          <w:sz w:val="21"/>
          <w:szCs w:val="21"/>
          <w:lang w:val="es-CO"/>
        </w:rPr>
        <w:t>INFORME DE SEGUIMIENTO Y CUMPLIMIENTO DE OBLIGACIONES</w:t>
      </w:r>
    </w:p>
    <w:p w14:paraId="3D7B14EA" w14:textId="77777777" w:rsidR="00542C62" w:rsidRPr="001B6C68" w:rsidRDefault="004B1850">
      <w:pPr>
        <w:spacing w:before="0" w:after="60"/>
        <w:jc w:val="center"/>
        <w:rPr>
          <w:rFonts w:ascii="Arial Narrow" w:hAnsi="Arial Narrow"/>
          <w:sz w:val="21"/>
          <w:szCs w:val="21"/>
        </w:rPr>
      </w:pPr>
      <w:r w:rsidRPr="001B6C68">
        <w:rPr>
          <w:rFonts w:ascii="Arial Narrow" w:hAnsi="Arial Narrow"/>
          <w:color w:val="555555"/>
          <w:sz w:val="21"/>
          <w:szCs w:val="21"/>
          <w:lang w:val="es-CO"/>
        </w:rPr>
        <w:t>Equipo de Apoyo a la Supervisión</w:t>
      </w:r>
    </w:p>
    <w:p w14:paraId="35DE2A0D" w14:textId="77777777" w:rsidR="00542C62" w:rsidRPr="001B6C68" w:rsidRDefault="004B1850">
      <w:pPr>
        <w:spacing w:before="60" w:after="200"/>
        <w:jc w:val="center"/>
        <w:rPr>
          <w:rFonts w:ascii="Arial Narrow" w:hAnsi="Arial Narrow"/>
          <w:color w:val="31849B" w:themeColor="accent5" w:themeShade="BF"/>
          <w:sz w:val="21"/>
          <w:szCs w:val="21"/>
        </w:rPr>
      </w:pPr>
      <w:r w:rsidRPr="001B6C68">
        <w:rPr>
          <w:rFonts w:ascii="Arial Narrow" w:hAnsi="Arial Narrow"/>
          <w:color w:val="31849B" w:themeColor="accent5" w:themeShade="BF"/>
          <w:sz w:val="21"/>
          <w:szCs w:val="21"/>
          <w:lang w:val="es-CO"/>
        </w:rPr>
        <w:t>Convenio de Obras por Impuestos No. 1248-2025</w:t>
      </w:r>
    </w:p>
    <w:tbl>
      <w:tblPr>
        <w:tblW w:w="896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2600"/>
        <w:gridCol w:w="6360"/>
      </w:tblGrid>
      <w:tr w:rsidR="00542C62" w:rsidRPr="001B6C68" w14:paraId="6DE4A0DC" w14:textId="77777777">
        <w:tc>
          <w:tcPr>
            <w:tcW w:w="26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vAlign w:val="center"/>
          </w:tcPr>
          <w:p w14:paraId="270014C8"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2E5D8E"/>
                <w:sz w:val="18"/>
                <w:szCs w:val="18"/>
              </w:rPr>
              <w:t>Convenio</w:t>
            </w:r>
          </w:p>
        </w:tc>
        <w:tc>
          <w:tcPr>
            <w:tcW w:w="6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492A1140"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No. 1248-2025 — Obras por Impuestos del Distrito Capital</w:t>
            </w:r>
          </w:p>
        </w:tc>
      </w:tr>
      <w:tr w:rsidR="00542C62" w:rsidRPr="001B6C68" w14:paraId="7225C17F" w14:textId="77777777">
        <w:tc>
          <w:tcPr>
            <w:tcW w:w="26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vAlign w:val="center"/>
          </w:tcPr>
          <w:p w14:paraId="76FC053D"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2E5D8E"/>
                <w:sz w:val="18"/>
                <w:szCs w:val="18"/>
              </w:rPr>
              <w:t>Código BPIN</w:t>
            </w:r>
          </w:p>
        </w:tc>
        <w:tc>
          <w:tcPr>
            <w:tcW w:w="636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3D61F5F6"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1520603</w:t>
            </w:r>
          </w:p>
        </w:tc>
      </w:tr>
      <w:tr w:rsidR="00542C62" w:rsidRPr="001B6C68" w14:paraId="717915C7" w14:textId="77777777">
        <w:tc>
          <w:tcPr>
            <w:tcW w:w="26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vAlign w:val="center"/>
          </w:tcPr>
          <w:p w14:paraId="2D7D0AE4"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2E5D8E"/>
                <w:sz w:val="18"/>
                <w:szCs w:val="18"/>
              </w:rPr>
              <w:t>Entidad Distrital Competente</w:t>
            </w:r>
          </w:p>
        </w:tc>
        <w:tc>
          <w:tcPr>
            <w:tcW w:w="6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311799EE"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Secretaría Distrital de Hábitat (SDHT)</w:t>
            </w:r>
          </w:p>
        </w:tc>
      </w:tr>
      <w:tr w:rsidR="00542C62" w:rsidRPr="001B6C68" w14:paraId="04C60873" w14:textId="77777777">
        <w:tc>
          <w:tcPr>
            <w:tcW w:w="26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vAlign w:val="center"/>
          </w:tcPr>
          <w:p w14:paraId="4D4556B9" w14:textId="31055135" w:rsidR="00542C62" w:rsidRPr="001B6C68" w:rsidRDefault="00EB6D33">
            <w:pPr>
              <w:spacing w:before="40" w:after="40"/>
              <w:jc w:val="left"/>
              <w:rPr>
                <w:rFonts w:ascii="Arial Narrow" w:hAnsi="Arial Narrow"/>
                <w:color w:val="2E5D8E"/>
                <w:sz w:val="18"/>
                <w:szCs w:val="18"/>
              </w:rPr>
            </w:pPr>
            <w:r w:rsidRPr="001B6C68">
              <w:rPr>
                <w:rFonts w:ascii="Arial Narrow" w:hAnsi="Arial Narrow"/>
                <w:color w:val="2E5D8E"/>
                <w:sz w:val="18"/>
                <w:szCs w:val="18"/>
              </w:rPr>
              <w:t>Entidad Distrital Beneficiaria</w:t>
            </w:r>
          </w:p>
        </w:tc>
        <w:tc>
          <w:tcPr>
            <w:tcW w:w="636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781CD28B" w14:textId="32BD8F84" w:rsidR="00542C62" w:rsidRPr="001B6C68" w:rsidRDefault="00EB6D33">
            <w:pPr>
              <w:spacing w:before="40" w:after="40"/>
              <w:jc w:val="left"/>
              <w:rPr>
                <w:rFonts w:ascii="Arial Narrow" w:hAnsi="Arial Narrow"/>
                <w:color w:val="2E5D8E"/>
                <w:sz w:val="18"/>
                <w:szCs w:val="18"/>
              </w:rPr>
            </w:pPr>
            <w:r w:rsidRPr="001B6C68">
              <w:rPr>
                <w:rFonts w:ascii="Arial Narrow" w:hAnsi="Arial Narrow"/>
                <w:color w:val="000000"/>
                <w:sz w:val="18"/>
                <w:szCs w:val="18"/>
              </w:rPr>
              <w:t>Instituto Distrital de Recreación y Deporte (IDRD)</w:t>
            </w:r>
          </w:p>
        </w:tc>
      </w:tr>
      <w:tr w:rsidR="00515416" w:rsidRPr="001B6C68" w14:paraId="39B74F5D" w14:textId="77777777">
        <w:tc>
          <w:tcPr>
            <w:tcW w:w="26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vAlign w:val="center"/>
          </w:tcPr>
          <w:p w14:paraId="23388ACA" w14:textId="3E97A453" w:rsidR="00515416" w:rsidRPr="001B6C68" w:rsidRDefault="00515416" w:rsidP="00515416">
            <w:pPr>
              <w:spacing w:before="40" w:after="40"/>
              <w:jc w:val="left"/>
              <w:rPr>
                <w:rFonts w:ascii="Arial Narrow" w:hAnsi="Arial Narrow"/>
                <w:color w:val="2E5D8E"/>
                <w:sz w:val="18"/>
                <w:szCs w:val="18"/>
              </w:rPr>
            </w:pPr>
            <w:r w:rsidRPr="001B6C68">
              <w:rPr>
                <w:rFonts w:ascii="Arial Narrow" w:hAnsi="Arial Narrow"/>
                <w:color w:val="2E5D8E"/>
                <w:sz w:val="18"/>
                <w:szCs w:val="18"/>
              </w:rPr>
              <w:t>Contribuyente</w:t>
            </w:r>
          </w:p>
        </w:tc>
        <w:tc>
          <w:tcPr>
            <w:tcW w:w="63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4B31347C" w14:textId="5A87D96B" w:rsidR="00515416" w:rsidRPr="001B6C68" w:rsidRDefault="00515416" w:rsidP="00515416">
            <w:pPr>
              <w:spacing w:before="40" w:after="40"/>
              <w:jc w:val="left"/>
              <w:rPr>
                <w:rFonts w:ascii="Arial Narrow" w:hAnsi="Arial Narrow"/>
                <w:color w:val="000000"/>
                <w:sz w:val="18"/>
                <w:szCs w:val="18"/>
              </w:rPr>
            </w:pPr>
            <w:r w:rsidRPr="001B6C68">
              <w:rPr>
                <w:rFonts w:ascii="Arial Narrow" w:hAnsi="Arial Narrow"/>
                <w:color w:val="000000"/>
                <w:sz w:val="18"/>
                <w:szCs w:val="18"/>
              </w:rPr>
              <w:t>Enlaza Grupo Energía Bogotá S.A.S. E.S.P.</w:t>
            </w:r>
          </w:p>
        </w:tc>
      </w:tr>
      <w:tr w:rsidR="00542C62" w:rsidRPr="001B6C68" w14:paraId="1407A0E1" w14:textId="77777777" w:rsidTr="00EB6D33">
        <w:tc>
          <w:tcPr>
            <w:tcW w:w="26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vAlign w:val="center"/>
          </w:tcPr>
          <w:p w14:paraId="3C3ED11C"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2E5D8E"/>
                <w:sz w:val="18"/>
                <w:szCs w:val="18"/>
              </w:rPr>
              <w:t>Ejecutor</w:t>
            </w:r>
          </w:p>
        </w:tc>
        <w:tc>
          <w:tcPr>
            <w:tcW w:w="636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50E8F4E4"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themeColor="text1"/>
                <w:sz w:val="18"/>
                <w:szCs w:val="18"/>
              </w:rPr>
              <w:t>ENEL Colombia S.A.S.P. — Contrato No. 551008285</w:t>
            </w:r>
          </w:p>
        </w:tc>
      </w:tr>
      <w:tr w:rsidR="00542C62" w:rsidRPr="001B6C68" w14:paraId="680989DA" w14:textId="77777777" w:rsidTr="00EB6D33">
        <w:tc>
          <w:tcPr>
            <w:tcW w:w="26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vAlign w:val="center"/>
          </w:tcPr>
          <w:p w14:paraId="03B3873F"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2E5D8E"/>
                <w:sz w:val="18"/>
                <w:szCs w:val="18"/>
              </w:rPr>
              <w:t>Fecha de firma del convenio</w:t>
            </w:r>
          </w:p>
        </w:tc>
        <w:tc>
          <w:tcPr>
            <w:tcW w:w="6360"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80" w:type="dxa"/>
              <w:left w:w="120" w:type="dxa"/>
              <w:bottom w:w="80" w:type="dxa"/>
              <w:right w:w="120" w:type="dxa"/>
            </w:tcMar>
            <w:vAlign w:val="center"/>
          </w:tcPr>
          <w:p w14:paraId="19583582"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7 de noviembre de 2025</w:t>
            </w:r>
          </w:p>
        </w:tc>
      </w:tr>
      <w:tr w:rsidR="00542C62" w:rsidRPr="001B6C68" w14:paraId="3E0660E2" w14:textId="77777777" w:rsidTr="00EB6D33">
        <w:tc>
          <w:tcPr>
            <w:tcW w:w="26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vAlign w:val="center"/>
          </w:tcPr>
          <w:p w14:paraId="50FA50ED"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2E5D8E"/>
                <w:sz w:val="18"/>
                <w:szCs w:val="18"/>
              </w:rPr>
              <w:t>Acta de inicio del convenio</w:t>
            </w:r>
          </w:p>
        </w:tc>
        <w:tc>
          <w:tcPr>
            <w:tcW w:w="636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2DFF810B"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27 de febrero de 2026</w:t>
            </w:r>
          </w:p>
        </w:tc>
      </w:tr>
      <w:tr w:rsidR="00542C62" w:rsidRPr="001B6C68" w14:paraId="434F26BB" w14:textId="77777777" w:rsidTr="00EB6D33">
        <w:tc>
          <w:tcPr>
            <w:tcW w:w="26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vAlign w:val="center"/>
          </w:tcPr>
          <w:p w14:paraId="15BF886F"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2E5D8E"/>
                <w:sz w:val="18"/>
                <w:szCs w:val="18"/>
              </w:rPr>
              <w:t>Plazo</w:t>
            </w:r>
          </w:p>
        </w:tc>
        <w:tc>
          <w:tcPr>
            <w:tcW w:w="6360"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80" w:type="dxa"/>
              <w:left w:w="120" w:type="dxa"/>
              <w:bottom w:w="80" w:type="dxa"/>
              <w:right w:w="120" w:type="dxa"/>
            </w:tcMar>
            <w:vAlign w:val="center"/>
          </w:tcPr>
          <w:p w14:paraId="6FE1C4FE"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12 meses — Vence: 26 de febrero de 2027</w:t>
            </w:r>
          </w:p>
        </w:tc>
      </w:tr>
      <w:tr w:rsidR="00542C62" w:rsidRPr="001B6C68" w14:paraId="1F6E817D" w14:textId="77777777" w:rsidTr="00EB6D33">
        <w:tc>
          <w:tcPr>
            <w:tcW w:w="26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vAlign w:val="center"/>
          </w:tcPr>
          <w:p w14:paraId="4E8DA155"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2E5D8E"/>
                <w:sz w:val="18"/>
                <w:szCs w:val="18"/>
              </w:rPr>
              <w:t>Costo total del proyecto</w:t>
            </w:r>
          </w:p>
        </w:tc>
        <w:tc>
          <w:tcPr>
            <w:tcW w:w="636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2A732C12"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$15.857.015.889 MCTE (incluye costos directos e indirectos)</w:t>
            </w:r>
          </w:p>
        </w:tc>
      </w:tr>
      <w:tr w:rsidR="00542C62" w:rsidRPr="001B6C68" w14:paraId="1267DAEB" w14:textId="77777777" w:rsidTr="00EB6D33">
        <w:tc>
          <w:tcPr>
            <w:tcW w:w="26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vAlign w:val="center"/>
          </w:tcPr>
          <w:p w14:paraId="6D6A4ECE"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2E5D8E"/>
                <w:sz w:val="18"/>
                <w:szCs w:val="18"/>
              </w:rPr>
              <w:t>Fecha de corte</w:t>
            </w:r>
          </w:p>
        </w:tc>
        <w:tc>
          <w:tcPr>
            <w:tcW w:w="6360"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80" w:type="dxa"/>
              <w:left w:w="120" w:type="dxa"/>
              <w:bottom w:w="80" w:type="dxa"/>
              <w:right w:w="120" w:type="dxa"/>
            </w:tcMar>
            <w:vAlign w:val="center"/>
          </w:tcPr>
          <w:p w14:paraId="225E3018" w14:textId="771793F4" w:rsidR="00542C62" w:rsidRPr="001B6C68" w:rsidRDefault="005E11FF">
            <w:pPr>
              <w:spacing w:before="40" w:after="40"/>
              <w:jc w:val="left"/>
              <w:rPr>
                <w:rFonts w:ascii="Arial Narrow" w:hAnsi="Arial Narrow"/>
                <w:sz w:val="18"/>
                <w:szCs w:val="18"/>
              </w:rPr>
            </w:pPr>
            <w:r w:rsidRPr="001B6C68">
              <w:rPr>
                <w:rFonts w:ascii="Arial Narrow" w:hAnsi="Arial Narrow"/>
                <w:color w:val="000000"/>
                <w:sz w:val="18"/>
                <w:szCs w:val="18"/>
              </w:rPr>
              <w:t xml:space="preserve">30 </w:t>
            </w:r>
            <w:proofErr w:type="gramStart"/>
            <w:r w:rsidR="004B1850" w:rsidRPr="001B6C68">
              <w:rPr>
                <w:rFonts w:ascii="Arial Narrow" w:hAnsi="Arial Narrow"/>
                <w:color w:val="000000"/>
                <w:sz w:val="18"/>
                <w:szCs w:val="18"/>
              </w:rPr>
              <w:t>Mayo</w:t>
            </w:r>
            <w:proofErr w:type="gramEnd"/>
            <w:r w:rsidR="004B1850" w:rsidRPr="001B6C68">
              <w:rPr>
                <w:rFonts w:ascii="Arial Narrow" w:hAnsi="Arial Narrow"/>
                <w:color w:val="000000"/>
                <w:sz w:val="18"/>
                <w:szCs w:val="18"/>
              </w:rPr>
              <w:t xml:space="preserve"> de 2026</w:t>
            </w:r>
          </w:p>
        </w:tc>
      </w:tr>
    </w:tbl>
    <w:p w14:paraId="354626D0" w14:textId="77777777" w:rsidR="00542C62" w:rsidRPr="001B6C68" w:rsidRDefault="00542C62">
      <w:pPr>
        <w:rPr>
          <w:rFonts w:ascii="Arial Narrow" w:hAnsi="Arial Narrow"/>
          <w:sz w:val="21"/>
          <w:szCs w:val="21"/>
        </w:rPr>
      </w:pPr>
    </w:p>
    <w:p w14:paraId="5F4BD14D" w14:textId="77777777" w:rsidR="00542C62" w:rsidRPr="001B6C68" w:rsidRDefault="004B1850">
      <w:pPr>
        <w:rPr>
          <w:rFonts w:ascii="Arial Narrow" w:hAnsi="Arial Narrow"/>
          <w:sz w:val="21"/>
          <w:szCs w:val="21"/>
        </w:rPr>
      </w:pPr>
      <w:r w:rsidRPr="001B6C68">
        <w:rPr>
          <w:rFonts w:ascii="Arial Narrow" w:hAnsi="Arial Narrow"/>
          <w:sz w:val="21"/>
          <w:szCs w:val="21"/>
        </w:rPr>
        <w:br w:type="page"/>
      </w:r>
    </w:p>
    <w:p w14:paraId="5095FECE" w14:textId="02469506" w:rsidR="00542C62" w:rsidRPr="001B6C68" w:rsidRDefault="004B1850" w:rsidP="001B6C68">
      <w:pPr>
        <w:pBdr>
          <w:bottom w:val="single" w:sz="8" w:space="4" w:color="2E5D8E"/>
        </w:pBdr>
        <w:shd w:val="clear" w:color="auto" w:fill="EBF2FA"/>
        <w:spacing w:before="280"/>
        <w:jc w:val="left"/>
        <w:rPr>
          <w:rFonts w:ascii="Arial Narrow" w:hAnsi="Arial Narrow"/>
          <w:sz w:val="21"/>
          <w:szCs w:val="21"/>
        </w:rPr>
      </w:pPr>
      <w:r w:rsidRPr="001B6C68">
        <w:rPr>
          <w:rFonts w:ascii="Arial Narrow" w:hAnsi="Arial Narrow"/>
          <w:color w:val="2E5D8E"/>
          <w:sz w:val="21"/>
          <w:szCs w:val="21"/>
          <w:lang w:val="es-CO"/>
        </w:rPr>
        <w:lastRenderedPageBreak/>
        <w:t>I. IDENTIFICACIÓN DEL CONVENIO</w:t>
      </w:r>
    </w:p>
    <w:p w14:paraId="255D0F03" w14:textId="77777777" w:rsidR="00542C62" w:rsidRPr="001B6C68" w:rsidRDefault="004B1850">
      <w:pPr>
        <w:spacing w:before="200"/>
        <w:jc w:val="left"/>
        <w:rPr>
          <w:rFonts w:ascii="Arial Narrow" w:hAnsi="Arial Narrow"/>
          <w:sz w:val="21"/>
          <w:szCs w:val="21"/>
        </w:rPr>
      </w:pPr>
      <w:r w:rsidRPr="001B6C68">
        <w:rPr>
          <w:rFonts w:ascii="Arial Narrow" w:hAnsi="Arial Narrow"/>
          <w:color w:val="2E5D8E"/>
          <w:sz w:val="21"/>
          <w:szCs w:val="21"/>
          <w:lang w:val="es-CO"/>
        </w:rPr>
        <w:t>1.1 Marco normativo</w:t>
      </w:r>
    </w:p>
    <w:p w14:paraId="1FE767DF" w14:textId="68CFC691" w:rsidR="00542C62" w:rsidRPr="001B6C68" w:rsidRDefault="004B1850">
      <w:pPr>
        <w:rPr>
          <w:rFonts w:ascii="Arial Narrow" w:hAnsi="Arial Narrow"/>
          <w:sz w:val="21"/>
          <w:szCs w:val="21"/>
        </w:rPr>
      </w:pPr>
      <w:r w:rsidRPr="001B6C68">
        <w:rPr>
          <w:rFonts w:ascii="Arial Narrow" w:hAnsi="Arial Narrow"/>
          <w:color w:val="000000"/>
          <w:sz w:val="21"/>
          <w:szCs w:val="21"/>
          <w:lang w:val="es-CO"/>
        </w:rPr>
        <w:t>El Convenio No. 1248-2025 se desarrolla en el marco del mecanismo de Obras por Impuestos del Distrito Capital, de conformidad con las siguientes disposiciones normativas:</w:t>
      </w:r>
    </w:p>
    <w:tbl>
      <w:tblPr>
        <w:tblW w:w="896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3000"/>
        <w:gridCol w:w="5960"/>
      </w:tblGrid>
      <w:tr w:rsidR="00542C62" w:rsidRPr="001B6C68" w14:paraId="5B6C2AA8" w14:textId="77777777">
        <w:tc>
          <w:tcPr>
            <w:tcW w:w="30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0B88A943"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FFFFFF"/>
                <w:sz w:val="18"/>
                <w:szCs w:val="18"/>
              </w:rPr>
              <w:t>Norma</w:t>
            </w:r>
          </w:p>
        </w:tc>
        <w:tc>
          <w:tcPr>
            <w:tcW w:w="596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14D21B40"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FFFFFF"/>
                <w:sz w:val="18"/>
                <w:szCs w:val="18"/>
              </w:rPr>
              <w:t>Descripción</w:t>
            </w:r>
          </w:p>
        </w:tc>
      </w:tr>
      <w:tr w:rsidR="00542C62" w:rsidRPr="001B6C68" w14:paraId="690FDA0E" w14:textId="77777777">
        <w:tc>
          <w:tcPr>
            <w:tcW w:w="30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5FAD6903"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Acuerdo Distrital 927 de 2024, art. 287</w:t>
            </w:r>
          </w:p>
        </w:tc>
        <w:tc>
          <w:tcPr>
            <w:tcW w:w="596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1AA28D35"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Crea y regula el mecanismo de Obras por Impuestos del Distrito Capital.</w:t>
            </w:r>
          </w:p>
        </w:tc>
      </w:tr>
      <w:tr w:rsidR="00542C62" w:rsidRPr="001B6C68" w14:paraId="2C3C4E52" w14:textId="77777777">
        <w:tc>
          <w:tcPr>
            <w:tcW w:w="3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202D46F2"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Decreto Único Sectorial 639 de 2025, Libro 1, Título 9</w:t>
            </w:r>
          </w:p>
        </w:tc>
        <w:tc>
          <w:tcPr>
            <w:tcW w:w="59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04076F0F"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Compila la reglamentación aplicable; deroga el Decreto Distrital 054 de 2025.</w:t>
            </w:r>
          </w:p>
        </w:tc>
      </w:tr>
      <w:tr w:rsidR="00542C62" w:rsidRPr="001B6C68" w14:paraId="79B5D7F0" w14:textId="77777777">
        <w:tc>
          <w:tcPr>
            <w:tcW w:w="30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2095584A"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Resolución SHD-000066 de 2025</w:t>
            </w:r>
          </w:p>
        </w:tc>
        <w:tc>
          <w:tcPr>
            <w:tcW w:w="596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1C68C0B6"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Adopta el Manual Operativo del Mecanismo de Obras por Impuestos (MOMOI V1, junio de 2025).</w:t>
            </w:r>
          </w:p>
        </w:tc>
      </w:tr>
    </w:tbl>
    <w:p w14:paraId="75560302" w14:textId="06019C25" w:rsidR="00542C62" w:rsidRPr="001B6C68" w:rsidRDefault="004B1850">
      <w:pPr>
        <w:spacing w:before="200"/>
        <w:jc w:val="left"/>
        <w:rPr>
          <w:rFonts w:ascii="Arial Narrow" w:hAnsi="Arial Narrow"/>
          <w:sz w:val="21"/>
          <w:szCs w:val="21"/>
        </w:rPr>
      </w:pPr>
      <w:r w:rsidRPr="001B6C68">
        <w:rPr>
          <w:rFonts w:ascii="Arial Narrow" w:hAnsi="Arial Narrow"/>
          <w:color w:val="2E5D8E"/>
          <w:sz w:val="21"/>
          <w:szCs w:val="21"/>
          <w:lang w:val="es-CO"/>
        </w:rPr>
        <w:t>1.2 Objeto del Convenio</w:t>
      </w:r>
    </w:p>
    <w:p w14:paraId="7FBE5D8E" w14:textId="77777777" w:rsidR="00542C62" w:rsidRPr="001B6C68" w:rsidRDefault="004B1850">
      <w:pPr>
        <w:rPr>
          <w:rFonts w:ascii="Arial Narrow" w:hAnsi="Arial Narrow"/>
          <w:sz w:val="21"/>
          <w:szCs w:val="21"/>
        </w:rPr>
      </w:pPr>
      <w:r w:rsidRPr="001B6C68">
        <w:rPr>
          <w:rFonts w:ascii="Arial Narrow" w:hAnsi="Arial Narrow"/>
          <w:color w:val="000000"/>
          <w:sz w:val="21"/>
          <w:szCs w:val="21"/>
          <w:lang w:val="es-CO"/>
        </w:rPr>
        <w:t>El objeto del Convenio consiste en la instalación de dos (2) Sistemas Solares Fotovoltaicos (SSFV) en equipamientos del Instituto Distrital de Recreación y Deporte, a saber:</w:t>
      </w:r>
    </w:p>
    <w:p w14:paraId="45181E20" w14:textId="77777777" w:rsidR="00542C62" w:rsidRPr="001B6C68" w:rsidRDefault="004B1850">
      <w:pPr>
        <w:numPr>
          <w:ilvl w:val="0"/>
          <w:numId w:val="3"/>
        </w:numPr>
        <w:spacing w:before="60" w:after="60"/>
        <w:rPr>
          <w:rFonts w:ascii="Arial Narrow" w:hAnsi="Arial Narrow"/>
          <w:sz w:val="21"/>
          <w:szCs w:val="21"/>
        </w:rPr>
      </w:pPr>
      <w:r w:rsidRPr="001B6C68">
        <w:rPr>
          <w:rFonts w:ascii="Arial Narrow" w:hAnsi="Arial Narrow"/>
          <w:sz w:val="21"/>
          <w:szCs w:val="21"/>
          <w:lang w:val="es-CO"/>
        </w:rPr>
        <w:t>SSFV No. 1 — Centro de Formación y Emprendimiento CEFE Tunal.</w:t>
      </w:r>
    </w:p>
    <w:p w14:paraId="0CCF9792" w14:textId="51C5C472" w:rsidR="001B6C68" w:rsidRPr="001B6C68" w:rsidRDefault="004B1850" w:rsidP="001B6C68">
      <w:pPr>
        <w:numPr>
          <w:ilvl w:val="0"/>
          <w:numId w:val="3"/>
        </w:numPr>
        <w:spacing w:before="60" w:after="60"/>
        <w:rPr>
          <w:rFonts w:ascii="Arial Narrow" w:hAnsi="Arial Narrow"/>
          <w:sz w:val="21"/>
          <w:szCs w:val="21"/>
        </w:rPr>
      </w:pPr>
      <w:r w:rsidRPr="001B6C68">
        <w:rPr>
          <w:rFonts w:ascii="Arial Narrow" w:hAnsi="Arial Narrow"/>
          <w:sz w:val="21"/>
          <w:szCs w:val="21"/>
          <w:lang w:val="es-CO"/>
        </w:rPr>
        <w:t>SSFV No. 2 — Centro de Formación y Emprendimiento CEFE San Cristóbal.</w:t>
      </w:r>
    </w:p>
    <w:p w14:paraId="451D5992" w14:textId="2B0E26C7" w:rsidR="00542C62" w:rsidRPr="001B6C68" w:rsidRDefault="004B1850">
      <w:pPr>
        <w:rPr>
          <w:rFonts w:ascii="Arial Narrow" w:hAnsi="Arial Narrow"/>
          <w:sz w:val="21"/>
          <w:szCs w:val="21"/>
        </w:rPr>
      </w:pPr>
      <w:r w:rsidRPr="001B6C68">
        <w:rPr>
          <w:rFonts w:ascii="Arial Narrow" w:hAnsi="Arial Narrow"/>
          <w:color w:val="000000"/>
          <w:sz w:val="21"/>
          <w:szCs w:val="21"/>
          <w:lang w:val="es-CO"/>
        </w:rPr>
        <w:t>Lo anterior, en el marco del proyecto de inversión con Código BPIN No. 1520603, con cargo a las obligaciones tributarias del Contribuyente ante el Distrito Capital.</w:t>
      </w:r>
    </w:p>
    <w:p w14:paraId="1202149A" w14:textId="77777777" w:rsidR="00542C62" w:rsidRPr="001B6C68" w:rsidRDefault="004B1850">
      <w:pPr>
        <w:pBdr>
          <w:bottom w:val="single" w:sz="8" w:space="4" w:color="2E5D8E"/>
        </w:pBdr>
        <w:shd w:val="clear" w:color="auto" w:fill="EBF2FA"/>
        <w:spacing w:before="280"/>
        <w:jc w:val="left"/>
        <w:rPr>
          <w:rFonts w:ascii="Arial Narrow" w:hAnsi="Arial Narrow"/>
          <w:sz w:val="21"/>
          <w:szCs w:val="21"/>
        </w:rPr>
      </w:pPr>
      <w:r w:rsidRPr="001B6C68">
        <w:rPr>
          <w:rFonts w:ascii="Arial Narrow" w:hAnsi="Arial Narrow"/>
          <w:color w:val="2E5D8E"/>
          <w:sz w:val="21"/>
          <w:szCs w:val="21"/>
          <w:lang w:val="es-CO"/>
        </w:rPr>
        <w:t>II. INTRODUCCIÓN</w:t>
      </w:r>
    </w:p>
    <w:p w14:paraId="74DD1442" w14:textId="77777777" w:rsidR="00542C62" w:rsidRPr="001B6C68" w:rsidRDefault="00542C62" w:rsidP="001B6C68">
      <w:pPr>
        <w:spacing w:before="0" w:after="0"/>
        <w:rPr>
          <w:rFonts w:ascii="Arial Narrow" w:hAnsi="Arial Narrow"/>
          <w:sz w:val="21"/>
          <w:szCs w:val="21"/>
        </w:rPr>
      </w:pPr>
    </w:p>
    <w:p w14:paraId="605F30A5" w14:textId="77777777" w:rsidR="00542C62" w:rsidRPr="001B6C68" w:rsidRDefault="004B1850" w:rsidP="001B6C68">
      <w:pPr>
        <w:spacing w:before="0" w:after="0"/>
        <w:rPr>
          <w:rFonts w:ascii="Arial Narrow" w:hAnsi="Arial Narrow"/>
          <w:sz w:val="21"/>
          <w:szCs w:val="21"/>
        </w:rPr>
      </w:pPr>
      <w:r w:rsidRPr="001B6C68">
        <w:rPr>
          <w:rFonts w:ascii="Arial Narrow" w:hAnsi="Arial Narrow"/>
          <w:color w:val="000000"/>
          <w:sz w:val="21"/>
          <w:szCs w:val="21"/>
          <w:lang w:val="es-CO"/>
        </w:rPr>
        <w:t>El presente informe es elaborado por el equipo de apoyo a la supervisión del Convenio No. 1248-2025, integrado por la abogada supervisora y el equipo técnico especializado (ingenieros civiles y electricistas), en cumplimiento de las competencias asignadas a la Secretaría Distrital de Hábitat como Entidad Distrital Competente (EDC), de conformidad con el Manual Operativo del Mecanismo de Obras por Impuestos — MOMOI V1.</w:t>
      </w:r>
    </w:p>
    <w:p w14:paraId="3EDA0FC5" w14:textId="77777777" w:rsidR="00542C62" w:rsidRPr="001B6C68" w:rsidRDefault="00542C62" w:rsidP="001B6C68">
      <w:pPr>
        <w:spacing w:before="0" w:after="0"/>
        <w:rPr>
          <w:rFonts w:ascii="Arial Narrow" w:hAnsi="Arial Narrow"/>
          <w:sz w:val="21"/>
          <w:szCs w:val="21"/>
        </w:rPr>
      </w:pPr>
    </w:p>
    <w:p w14:paraId="4E9BCCA3" w14:textId="77777777" w:rsidR="00542C62" w:rsidRPr="001B6C68" w:rsidRDefault="004B1850" w:rsidP="001B6C68">
      <w:pPr>
        <w:spacing w:before="0" w:after="0"/>
        <w:rPr>
          <w:rFonts w:ascii="Arial Narrow" w:hAnsi="Arial Narrow"/>
          <w:sz w:val="21"/>
          <w:szCs w:val="21"/>
        </w:rPr>
      </w:pPr>
      <w:r w:rsidRPr="001B6C68">
        <w:rPr>
          <w:rFonts w:ascii="Arial Narrow" w:hAnsi="Arial Narrow"/>
          <w:color w:val="000000"/>
          <w:sz w:val="21"/>
          <w:szCs w:val="21"/>
          <w:lang w:val="es-CO"/>
        </w:rPr>
        <w:t>Su propósito es presentar el estado actual del cumplimiento de las obligaciones a cargo de cada una de las partes, con corte a mayo de 2026, tomando como principal referencia los acuerdos y verificaciones realizadas en la Sesión de Inicio celebrada el 24 de abril de 2026, conforme al numeral 3.1.9.1 del MOMOI.</w:t>
      </w:r>
    </w:p>
    <w:p w14:paraId="4A065B69" w14:textId="77777777" w:rsidR="00542C62" w:rsidRPr="001B6C68" w:rsidRDefault="00542C62" w:rsidP="001B6C68">
      <w:pPr>
        <w:spacing w:before="0" w:after="0"/>
        <w:rPr>
          <w:rFonts w:ascii="Arial Narrow" w:hAnsi="Arial Narrow"/>
          <w:sz w:val="21"/>
          <w:szCs w:val="21"/>
        </w:rPr>
      </w:pPr>
    </w:p>
    <w:p w14:paraId="695D7804" w14:textId="6BCFB6D5" w:rsidR="00542C62" w:rsidRPr="001B6C68" w:rsidRDefault="004B1850" w:rsidP="001B6C68">
      <w:pPr>
        <w:spacing w:before="0" w:after="0"/>
        <w:rPr>
          <w:rFonts w:ascii="Arial Narrow" w:hAnsi="Arial Narrow"/>
          <w:sz w:val="21"/>
          <w:szCs w:val="21"/>
        </w:rPr>
      </w:pPr>
      <w:r w:rsidRPr="001B6C68">
        <w:rPr>
          <w:rFonts w:ascii="Arial Narrow" w:hAnsi="Arial Narrow"/>
          <w:color w:val="000000"/>
          <w:sz w:val="21"/>
          <w:szCs w:val="21"/>
          <w:lang w:val="es-CO"/>
        </w:rPr>
        <w:lastRenderedPageBreak/>
        <w:t>El informe se estructura en dos componentes de seguimiento: (i) cumplimiento de obligaciones del proyecto en su fase de ejecución técnica; y (</w:t>
      </w:r>
      <w:proofErr w:type="spellStart"/>
      <w:r w:rsidRPr="001B6C68">
        <w:rPr>
          <w:rFonts w:ascii="Arial Narrow" w:hAnsi="Arial Narrow"/>
          <w:color w:val="000000"/>
          <w:sz w:val="21"/>
          <w:szCs w:val="21"/>
          <w:lang w:val="es-CO"/>
        </w:rPr>
        <w:t>ii</w:t>
      </w:r>
      <w:proofErr w:type="spellEnd"/>
      <w:r w:rsidRPr="001B6C68">
        <w:rPr>
          <w:rFonts w:ascii="Arial Narrow" w:hAnsi="Arial Narrow"/>
          <w:color w:val="000000"/>
          <w:sz w:val="21"/>
          <w:szCs w:val="21"/>
          <w:lang w:val="es-CO"/>
        </w:rPr>
        <w:t>) avance en el componente de conformación de comunidades energéticas, que comprende las etapas de convocatoria y suscripción del documento asociativo.</w:t>
      </w:r>
    </w:p>
    <w:p w14:paraId="3612DF5D" w14:textId="1AA5FE92" w:rsidR="00542C62" w:rsidRPr="001B6C68" w:rsidRDefault="004B1850" w:rsidP="001B6C68">
      <w:pPr>
        <w:pBdr>
          <w:bottom w:val="single" w:sz="8" w:space="4" w:color="2E5D8E"/>
        </w:pBdr>
        <w:shd w:val="clear" w:color="auto" w:fill="EBF2FA"/>
        <w:spacing w:before="280"/>
        <w:jc w:val="left"/>
        <w:rPr>
          <w:rFonts w:ascii="Arial Narrow" w:hAnsi="Arial Narrow"/>
          <w:sz w:val="21"/>
          <w:szCs w:val="21"/>
        </w:rPr>
      </w:pPr>
      <w:r w:rsidRPr="001B6C68">
        <w:rPr>
          <w:rFonts w:ascii="Arial Narrow" w:hAnsi="Arial Narrow"/>
          <w:color w:val="2E5D8E"/>
          <w:sz w:val="21"/>
          <w:szCs w:val="21"/>
          <w:lang w:val="es-CO"/>
        </w:rPr>
        <w:t>III. OBLIGACIONES DE LAS PARTES</w:t>
      </w:r>
    </w:p>
    <w:p w14:paraId="0D0FB267" w14:textId="77777777" w:rsidR="00542C62" w:rsidRPr="001B6C68" w:rsidRDefault="004B1850">
      <w:pPr>
        <w:spacing w:before="200"/>
        <w:jc w:val="left"/>
        <w:rPr>
          <w:rFonts w:ascii="Arial Narrow" w:hAnsi="Arial Narrow"/>
          <w:sz w:val="21"/>
          <w:szCs w:val="21"/>
        </w:rPr>
      </w:pPr>
      <w:r w:rsidRPr="001B6C68">
        <w:rPr>
          <w:rFonts w:ascii="Arial Narrow" w:hAnsi="Arial Narrow"/>
          <w:color w:val="2E5D8E"/>
          <w:sz w:val="21"/>
          <w:szCs w:val="21"/>
          <w:lang w:val="es-CO"/>
        </w:rPr>
        <w:t>3.1 Obligaciones del Contribuyente — Enlaza GEB</w:t>
      </w:r>
    </w:p>
    <w:p w14:paraId="2E3BD510" w14:textId="77777777" w:rsidR="00542C62" w:rsidRPr="001B6C68" w:rsidRDefault="004B1850">
      <w:pPr>
        <w:rPr>
          <w:rFonts w:ascii="Arial Narrow" w:hAnsi="Arial Narrow"/>
          <w:sz w:val="21"/>
          <w:szCs w:val="21"/>
        </w:rPr>
      </w:pPr>
      <w:r w:rsidRPr="001B6C68">
        <w:rPr>
          <w:rFonts w:ascii="Arial Narrow" w:hAnsi="Arial Narrow"/>
          <w:color w:val="000000"/>
          <w:sz w:val="21"/>
          <w:szCs w:val="21"/>
          <w:lang w:val="es-CO"/>
        </w:rPr>
        <w:t>Conforme al MOMOI y al Convenio suscrito, el Contribuyente tiene a su cargo, entre otras, las siguientes obligaciones:</w:t>
      </w:r>
    </w:p>
    <w:p w14:paraId="486990C4" w14:textId="77777777" w:rsidR="00542C62" w:rsidRPr="001B6C68" w:rsidRDefault="004B1850">
      <w:pPr>
        <w:numPr>
          <w:ilvl w:val="0"/>
          <w:numId w:val="3"/>
        </w:numPr>
        <w:spacing w:before="60" w:after="60"/>
        <w:rPr>
          <w:rFonts w:ascii="Arial Narrow" w:hAnsi="Arial Narrow"/>
          <w:sz w:val="21"/>
          <w:szCs w:val="21"/>
        </w:rPr>
      </w:pPr>
      <w:r w:rsidRPr="001B6C68">
        <w:rPr>
          <w:rFonts w:ascii="Arial Narrow" w:hAnsi="Arial Narrow"/>
          <w:sz w:val="21"/>
          <w:szCs w:val="21"/>
          <w:lang w:val="es-CO"/>
        </w:rPr>
        <w:t>Contratación del ejecutor de la obra e inicio formal de actividades.</w:t>
      </w:r>
    </w:p>
    <w:p w14:paraId="14E393C3" w14:textId="77777777" w:rsidR="00542C62" w:rsidRPr="001B6C68" w:rsidRDefault="004B1850">
      <w:pPr>
        <w:numPr>
          <w:ilvl w:val="0"/>
          <w:numId w:val="3"/>
        </w:numPr>
        <w:spacing w:before="60" w:after="60"/>
        <w:rPr>
          <w:rFonts w:ascii="Arial Narrow" w:hAnsi="Arial Narrow"/>
          <w:sz w:val="21"/>
          <w:szCs w:val="21"/>
        </w:rPr>
      </w:pPr>
      <w:r w:rsidRPr="001B6C68">
        <w:rPr>
          <w:rFonts w:ascii="Arial Narrow" w:hAnsi="Arial Narrow"/>
          <w:sz w:val="21"/>
          <w:szCs w:val="21"/>
          <w:lang w:val="es-CO"/>
        </w:rPr>
        <w:t>Aprobación y mantenimiento vigente de pólizas y garantías exigidas.</w:t>
      </w:r>
    </w:p>
    <w:p w14:paraId="79A84A2C" w14:textId="77777777" w:rsidR="00542C62" w:rsidRPr="001B6C68" w:rsidRDefault="004B1850">
      <w:pPr>
        <w:numPr>
          <w:ilvl w:val="0"/>
          <w:numId w:val="3"/>
        </w:numPr>
        <w:spacing w:before="60" w:after="60"/>
        <w:rPr>
          <w:rFonts w:ascii="Arial Narrow" w:hAnsi="Arial Narrow"/>
          <w:sz w:val="21"/>
          <w:szCs w:val="21"/>
        </w:rPr>
      </w:pPr>
      <w:r w:rsidRPr="001B6C68">
        <w:rPr>
          <w:rFonts w:ascii="Arial Narrow" w:hAnsi="Arial Narrow"/>
          <w:sz w:val="21"/>
          <w:szCs w:val="21"/>
          <w:lang w:val="es-CO"/>
        </w:rPr>
        <w:t>Presentación del reporte mensual de avances dentro de los primeros cinco (5) días hábiles de cada mes (MOMOI §3.1.10.4).</w:t>
      </w:r>
    </w:p>
    <w:p w14:paraId="48326BE0" w14:textId="77777777" w:rsidR="00542C62" w:rsidRPr="001B6C68" w:rsidRDefault="004B1850">
      <w:pPr>
        <w:numPr>
          <w:ilvl w:val="0"/>
          <w:numId w:val="3"/>
        </w:numPr>
        <w:spacing w:before="60" w:after="60"/>
        <w:rPr>
          <w:rFonts w:ascii="Arial Narrow" w:hAnsi="Arial Narrow"/>
          <w:sz w:val="21"/>
          <w:szCs w:val="21"/>
        </w:rPr>
      </w:pPr>
      <w:r w:rsidRPr="001B6C68">
        <w:rPr>
          <w:rFonts w:ascii="Arial Narrow" w:hAnsi="Arial Narrow"/>
          <w:sz w:val="21"/>
          <w:szCs w:val="21"/>
          <w:lang w:val="es-CO"/>
        </w:rPr>
        <w:t xml:space="preserve">Gestión del ajuste del horizonte del proyecto en </w:t>
      </w:r>
      <w:proofErr w:type="spellStart"/>
      <w:r w:rsidRPr="001B6C68">
        <w:rPr>
          <w:rFonts w:ascii="Arial Narrow" w:hAnsi="Arial Narrow"/>
          <w:sz w:val="21"/>
          <w:szCs w:val="21"/>
          <w:lang w:val="es-CO"/>
        </w:rPr>
        <w:t>Segplan</w:t>
      </w:r>
      <w:proofErr w:type="spellEnd"/>
      <w:r w:rsidRPr="001B6C68">
        <w:rPr>
          <w:rFonts w:ascii="Arial Narrow" w:hAnsi="Arial Narrow"/>
          <w:sz w:val="21"/>
          <w:szCs w:val="21"/>
          <w:lang w:val="es-CO"/>
        </w:rPr>
        <w:t xml:space="preserve"> 2.0, dentro de los tres (3) días hábiles siguientes a la Sesión de Inicio (MOMOI §3.1.9.1 f)).</w:t>
      </w:r>
    </w:p>
    <w:p w14:paraId="51614DCF" w14:textId="77777777" w:rsidR="00542C62" w:rsidRPr="001B6C68" w:rsidRDefault="004B1850">
      <w:pPr>
        <w:numPr>
          <w:ilvl w:val="0"/>
          <w:numId w:val="3"/>
        </w:numPr>
        <w:spacing w:before="60" w:after="60"/>
        <w:rPr>
          <w:rFonts w:ascii="Arial Narrow" w:hAnsi="Arial Narrow"/>
          <w:sz w:val="21"/>
          <w:szCs w:val="21"/>
        </w:rPr>
      </w:pPr>
      <w:r w:rsidRPr="001B6C68">
        <w:rPr>
          <w:rFonts w:ascii="Arial Narrow" w:hAnsi="Arial Narrow"/>
          <w:sz w:val="21"/>
          <w:szCs w:val="21"/>
          <w:lang w:val="es-CO"/>
        </w:rPr>
        <w:t>Cumplimiento de los hitos del cronograma aprobados en la Sesión de Inicio del 24 de abril de 2026.</w:t>
      </w:r>
    </w:p>
    <w:p w14:paraId="1CF2EB72" w14:textId="77777777" w:rsidR="00542C62" w:rsidRPr="001B6C68" w:rsidRDefault="004B1850">
      <w:pPr>
        <w:numPr>
          <w:ilvl w:val="0"/>
          <w:numId w:val="3"/>
        </w:numPr>
        <w:spacing w:before="60" w:after="60"/>
        <w:rPr>
          <w:rFonts w:ascii="Arial Narrow" w:hAnsi="Arial Narrow"/>
          <w:sz w:val="21"/>
          <w:szCs w:val="21"/>
        </w:rPr>
      </w:pPr>
      <w:r w:rsidRPr="001B6C68">
        <w:rPr>
          <w:rFonts w:ascii="Arial Narrow" w:hAnsi="Arial Narrow"/>
          <w:sz w:val="21"/>
          <w:szCs w:val="21"/>
          <w:lang w:val="es-CO"/>
        </w:rPr>
        <w:t>Participación en los comités de seguimiento: Comité Técnico Quincenal y Comité de Supervisión Técnica Semanal.</w:t>
      </w:r>
    </w:p>
    <w:p w14:paraId="4CB2B068" w14:textId="2F15EE64" w:rsidR="00542C62" w:rsidRDefault="004B1850" w:rsidP="001B6C68">
      <w:pPr>
        <w:numPr>
          <w:ilvl w:val="0"/>
          <w:numId w:val="3"/>
        </w:numPr>
        <w:spacing w:before="60" w:after="60"/>
        <w:rPr>
          <w:rFonts w:ascii="Arial Narrow" w:hAnsi="Arial Narrow"/>
          <w:sz w:val="21"/>
          <w:szCs w:val="21"/>
        </w:rPr>
      </w:pPr>
      <w:r w:rsidRPr="001B6C68">
        <w:rPr>
          <w:rFonts w:ascii="Arial Narrow" w:hAnsi="Arial Narrow"/>
          <w:sz w:val="21"/>
          <w:szCs w:val="21"/>
          <w:lang w:val="es-CO"/>
        </w:rPr>
        <w:t>Gestión de los requisitos previos de obra ante el IDRD y demás entidades.</w:t>
      </w:r>
    </w:p>
    <w:p w14:paraId="4DEB016F" w14:textId="77777777" w:rsidR="001B6C68" w:rsidRPr="001B6C68" w:rsidRDefault="001B6C68" w:rsidP="001B6C68">
      <w:pPr>
        <w:spacing w:before="60" w:after="60"/>
        <w:ind w:left="720"/>
        <w:rPr>
          <w:rFonts w:ascii="Arial Narrow" w:hAnsi="Arial Narrow"/>
          <w:sz w:val="21"/>
          <w:szCs w:val="21"/>
        </w:rPr>
      </w:pPr>
    </w:p>
    <w:p w14:paraId="7E26684F" w14:textId="77777777" w:rsidR="00542C62" w:rsidRPr="001B6C68" w:rsidRDefault="004B1850">
      <w:pPr>
        <w:spacing w:before="200"/>
        <w:jc w:val="left"/>
        <w:rPr>
          <w:rFonts w:ascii="Arial Narrow" w:hAnsi="Arial Narrow"/>
          <w:sz w:val="21"/>
          <w:szCs w:val="21"/>
        </w:rPr>
      </w:pPr>
      <w:r w:rsidRPr="001B6C68">
        <w:rPr>
          <w:rFonts w:ascii="Arial Narrow" w:hAnsi="Arial Narrow"/>
          <w:color w:val="2E5D8E"/>
          <w:sz w:val="21"/>
          <w:szCs w:val="21"/>
          <w:lang w:val="es-CO"/>
        </w:rPr>
        <w:t>3.2 Obligaciones de la Entidad Distrital Competente — SDHT</w:t>
      </w:r>
    </w:p>
    <w:p w14:paraId="227C996F" w14:textId="77777777" w:rsidR="00542C62" w:rsidRPr="001B6C68" w:rsidRDefault="004B1850">
      <w:pPr>
        <w:rPr>
          <w:rFonts w:ascii="Arial Narrow" w:hAnsi="Arial Narrow"/>
          <w:sz w:val="21"/>
          <w:szCs w:val="21"/>
        </w:rPr>
      </w:pPr>
      <w:r w:rsidRPr="001B6C68">
        <w:rPr>
          <w:rFonts w:ascii="Arial Narrow" w:hAnsi="Arial Narrow"/>
          <w:color w:val="000000"/>
          <w:sz w:val="21"/>
          <w:szCs w:val="21"/>
          <w:lang w:val="es-CO"/>
        </w:rPr>
        <w:t>La Secretaría Distrital de Hábitat, en su rol de Entidad Distrital Competente, tiene a su cargo:</w:t>
      </w:r>
    </w:p>
    <w:p w14:paraId="2116FF08" w14:textId="77777777" w:rsidR="00542C62" w:rsidRPr="001B6C68" w:rsidRDefault="004B1850">
      <w:pPr>
        <w:numPr>
          <w:ilvl w:val="0"/>
          <w:numId w:val="3"/>
        </w:numPr>
        <w:spacing w:before="60" w:after="60"/>
        <w:rPr>
          <w:rFonts w:ascii="Arial Narrow" w:hAnsi="Arial Narrow"/>
          <w:sz w:val="21"/>
          <w:szCs w:val="21"/>
        </w:rPr>
      </w:pPr>
      <w:r w:rsidRPr="001B6C68">
        <w:rPr>
          <w:rFonts w:ascii="Arial Narrow" w:hAnsi="Arial Narrow"/>
          <w:sz w:val="21"/>
          <w:szCs w:val="21"/>
          <w:lang w:val="es-CO"/>
        </w:rPr>
        <w:t>Verificación del cumplimiento de los requisitos formales de inicio del proyecto (MOMOI §3.1.9.1 c) y d)).</w:t>
      </w:r>
    </w:p>
    <w:p w14:paraId="0A42A93B" w14:textId="77777777" w:rsidR="00542C62" w:rsidRPr="001B6C68" w:rsidRDefault="004B1850">
      <w:pPr>
        <w:numPr>
          <w:ilvl w:val="0"/>
          <w:numId w:val="3"/>
        </w:numPr>
        <w:spacing w:before="60" w:after="60"/>
        <w:rPr>
          <w:rFonts w:ascii="Arial Narrow" w:hAnsi="Arial Narrow"/>
          <w:sz w:val="21"/>
          <w:szCs w:val="21"/>
        </w:rPr>
      </w:pPr>
      <w:r w:rsidRPr="001B6C68">
        <w:rPr>
          <w:rFonts w:ascii="Arial Narrow" w:hAnsi="Arial Narrow"/>
          <w:sz w:val="21"/>
          <w:szCs w:val="21"/>
          <w:lang w:val="es-CO"/>
        </w:rPr>
        <w:t>Aprobación de los hitos del cronograma de ejecución en la Sesión de Inicio (MOMOI §3.1.9.1 e)).</w:t>
      </w:r>
    </w:p>
    <w:p w14:paraId="3A62EF50" w14:textId="77777777" w:rsidR="00542C62" w:rsidRPr="001B6C68" w:rsidRDefault="004B1850">
      <w:pPr>
        <w:numPr>
          <w:ilvl w:val="0"/>
          <w:numId w:val="3"/>
        </w:numPr>
        <w:spacing w:before="60" w:after="60"/>
        <w:rPr>
          <w:rFonts w:ascii="Arial Narrow" w:hAnsi="Arial Narrow"/>
          <w:sz w:val="21"/>
          <w:szCs w:val="21"/>
        </w:rPr>
      </w:pPr>
      <w:r w:rsidRPr="001B6C68">
        <w:rPr>
          <w:rFonts w:ascii="Arial Narrow" w:hAnsi="Arial Narrow"/>
          <w:sz w:val="21"/>
          <w:szCs w:val="21"/>
          <w:lang w:val="es-CO"/>
        </w:rPr>
        <w:t>Ejercicio de la supervisión técnica, administrativa y financiera del convenio.</w:t>
      </w:r>
    </w:p>
    <w:p w14:paraId="0083905B" w14:textId="77777777" w:rsidR="00542C62" w:rsidRPr="001B6C68" w:rsidRDefault="004B1850">
      <w:pPr>
        <w:numPr>
          <w:ilvl w:val="0"/>
          <w:numId w:val="3"/>
        </w:numPr>
        <w:spacing w:before="60" w:after="60"/>
        <w:rPr>
          <w:rFonts w:ascii="Arial Narrow" w:hAnsi="Arial Narrow"/>
          <w:sz w:val="21"/>
          <w:szCs w:val="21"/>
        </w:rPr>
      </w:pPr>
      <w:r w:rsidRPr="001B6C68">
        <w:rPr>
          <w:rFonts w:ascii="Arial Narrow" w:hAnsi="Arial Narrow"/>
          <w:sz w:val="21"/>
          <w:szCs w:val="21"/>
          <w:lang w:val="es-CO"/>
        </w:rPr>
        <w:t>Participación en los comités de seguimiento y levantamiento de actas.</w:t>
      </w:r>
    </w:p>
    <w:p w14:paraId="5245A0B0" w14:textId="77777777" w:rsidR="00542C62" w:rsidRPr="001B6C68" w:rsidRDefault="004B1850">
      <w:pPr>
        <w:numPr>
          <w:ilvl w:val="0"/>
          <w:numId w:val="3"/>
        </w:numPr>
        <w:spacing w:before="60" w:after="60"/>
        <w:rPr>
          <w:rFonts w:ascii="Arial Narrow" w:hAnsi="Arial Narrow"/>
          <w:sz w:val="21"/>
          <w:szCs w:val="21"/>
        </w:rPr>
      </w:pPr>
      <w:r w:rsidRPr="001B6C68">
        <w:rPr>
          <w:rFonts w:ascii="Arial Narrow" w:hAnsi="Arial Narrow"/>
          <w:sz w:val="21"/>
          <w:szCs w:val="21"/>
          <w:lang w:val="es-CO"/>
        </w:rPr>
        <w:t>Recibo a satisfacción y emisión del certificado de cumplimiento (MOMOI §3.1.10.5).</w:t>
      </w:r>
    </w:p>
    <w:p w14:paraId="54327187" w14:textId="77777777" w:rsidR="00542C62" w:rsidRPr="001B6C68" w:rsidRDefault="004B1850">
      <w:pPr>
        <w:numPr>
          <w:ilvl w:val="0"/>
          <w:numId w:val="3"/>
        </w:numPr>
        <w:spacing w:before="60" w:after="60"/>
        <w:rPr>
          <w:rFonts w:ascii="Arial Narrow" w:hAnsi="Arial Narrow"/>
          <w:sz w:val="21"/>
          <w:szCs w:val="21"/>
        </w:rPr>
      </w:pPr>
      <w:r w:rsidRPr="001B6C68">
        <w:rPr>
          <w:rFonts w:ascii="Arial Narrow" w:hAnsi="Arial Narrow"/>
          <w:sz w:val="21"/>
          <w:szCs w:val="21"/>
          <w:lang w:val="es-CO"/>
        </w:rPr>
        <w:t>Gestión de la transferencia de dominio a favor del IDRD y emisión de certificación para el reconocimiento de los TRTD (MOMOI §3.1.10.6).</w:t>
      </w:r>
    </w:p>
    <w:p w14:paraId="2E3A3B6F" w14:textId="77777777" w:rsidR="00542C62" w:rsidRPr="001B6C68" w:rsidRDefault="00542C62">
      <w:pPr>
        <w:rPr>
          <w:rFonts w:ascii="Arial Narrow" w:hAnsi="Arial Narrow"/>
          <w:sz w:val="21"/>
          <w:szCs w:val="21"/>
        </w:rPr>
      </w:pPr>
    </w:p>
    <w:p w14:paraId="0B06E0AD" w14:textId="77777777" w:rsidR="00542C62" w:rsidRPr="001B6C68" w:rsidRDefault="004B1850">
      <w:pPr>
        <w:spacing w:before="200"/>
        <w:jc w:val="left"/>
        <w:rPr>
          <w:rFonts w:ascii="Arial Narrow" w:hAnsi="Arial Narrow"/>
          <w:sz w:val="21"/>
          <w:szCs w:val="21"/>
        </w:rPr>
      </w:pPr>
      <w:r w:rsidRPr="001B6C68">
        <w:rPr>
          <w:rFonts w:ascii="Arial Narrow" w:hAnsi="Arial Narrow"/>
          <w:color w:val="2E5D8E"/>
          <w:sz w:val="21"/>
          <w:szCs w:val="21"/>
          <w:lang w:val="es-CO"/>
        </w:rPr>
        <w:t>3.3 Obligaciones del IDRD</w:t>
      </w:r>
    </w:p>
    <w:p w14:paraId="21E60E0A" w14:textId="77777777" w:rsidR="00542C62" w:rsidRPr="001B6C68" w:rsidRDefault="004B1850">
      <w:pPr>
        <w:numPr>
          <w:ilvl w:val="0"/>
          <w:numId w:val="3"/>
        </w:numPr>
        <w:spacing w:before="60" w:after="60"/>
        <w:rPr>
          <w:rFonts w:ascii="Arial Narrow" w:hAnsi="Arial Narrow"/>
          <w:sz w:val="21"/>
          <w:szCs w:val="21"/>
        </w:rPr>
      </w:pPr>
      <w:r w:rsidRPr="001B6C68">
        <w:rPr>
          <w:rFonts w:ascii="Arial Narrow" w:hAnsi="Arial Narrow"/>
          <w:sz w:val="21"/>
          <w:szCs w:val="21"/>
          <w:lang w:val="es-CO"/>
        </w:rPr>
        <w:lastRenderedPageBreak/>
        <w:t>Facilitar el acceso a los inmuebles CEFE Tunal y CEFE San Cristóbal para la ejecución de obras.</w:t>
      </w:r>
    </w:p>
    <w:p w14:paraId="11B54A29" w14:textId="77777777" w:rsidR="00542C62" w:rsidRPr="001B6C68" w:rsidRDefault="004B1850">
      <w:pPr>
        <w:numPr>
          <w:ilvl w:val="0"/>
          <w:numId w:val="3"/>
        </w:numPr>
        <w:spacing w:before="60" w:after="60"/>
        <w:rPr>
          <w:rFonts w:ascii="Arial Narrow" w:hAnsi="Arial Narrow"/>
          <w:sz w:val="21"/>
          <w:szCs w:val="21"/>
        </w:rPr>
      </w:pPr>
      <w:r w:rsidRPr="001B6C68">
        <w:rPr>
          <w:rFonts w:ascii="Arial Narrow" w:hAnsi="Arial Narrow"/>
          <w:sz w:val="21"/>
          <w:szCs w:val="21"/>
          <w:lang w:val="es-CO"/>
        </w:rPr>
        <w:t>Otorgar las autorizaciones previas de obra requeridas para la intervención en sus instalaciones.</w:t>
      </w:r>
    </w:p>
    <w:p w14:paraId="72EAC708" w14:textId="77777777" w:rsidR="00542C62" w:rsidRPr="001B6C68" w:rsidRDefault="004B1850">
      <w:pPr>
        <w:numPr>
          <w:ilvl w:val="0"/>
          <w:numId w:val="3"/>
        </w:numPr>
        <w:spacing w:before="60" w:after="60"/>
        <w:rPr>
          <w:rFonts w:ascii="Arial Narrow" w:hAnsi="Arial Narrow"/>
          <w:sz w:val="21"/>
          <w:szCs w:val="21"/>
        </w:rPr>
      </w:pPr>
      <w:r w:rsidRPr="001B6C68">
        <w:rPr>
          <w:rFonts w:ascii="Arial Narrow" w:hAnsi="Arial Narrow"/>
          <w:sz w:val="21"/>
          <w:szCs w:val="21"/>
          <w:lang w:val="es-CO"/>
        </w:rPr>
        <w:t>Definir formalmente el alcance de los ítems condicionados (sistema de Internet — CEFE Tunal; iluminación de cancha — CEFE San Cristóbal).</w:t>
      </w:r>
    </w:p>
    <w:p w14:paraId="33E26A54" w14:textId="77777777" w:rsidR="00542C62" w:rsidRPr="001B6C68" w:rsidRDefault="004B1850">
      <w:pPr>
        <w:numPr>
          <w:ilvl w:val="0"/>
          <w:numId w:val="3"/>
        </w:numPr>
        <w:spacing w:before="60" w:after="60"/>
        <w:rPr>
          <w:rFonts w:ascii="Arial Narrow" w:hAnsi="Arial Narrow"/>
          <w:sz w:val="21"/>
          <w:szCs w:val="21"/>
        </w:rPr>
      </w:pPr>
      <w:r w:rsidRPr="001B6C68">
        <w:rPr>
          <w:rFonts w:ascii="Arial Narrow" w:hAnsi="Arial Narrow"/>
          <w:sz w:val="21"/>
          <w:szCs w:val="21"/>
          <w:lang w:val="es-CO"/>
        </w:rPr>
        <w:t>Participar en el Comité Técnico del Convenio a través del Subdirector Técnico de Parques o su delegado.</w:t>
      </w:r>
    </w:p>
    <w:p w14:paraId="1015EC10" w14:textId="77777777" w:rsidR="00542C62" w:rsidRPr="001B6C68" w:rsidRDefault="00542C62">
      <w:pPr>
        <w:rPr>
          <w:rFonts w:ascii="Arial Narrow" w:hAnsi="Arial Narrow"/>
          <w:sz w:val="21"/>
          <w:szCs w:val="21"/>
        </w:rPr>
      </w:pPr>
    </w:p>
    <w:p w14:paraId="340DE998" w14:textId="77777777" w:rsidR="00542C62" w:rsidRPr="001B6C68" w:rsidRDefault="004B1850">
      <w:pPr>
        <w:pBdr>
          <w:bottom w:val="single" w:sz="8" w:space="4" w:color="2E5D8E"/>
        </w:pBdr>
        <w:shd w:val="clear" w:color="auto" w:fill="EBF2FA"/>
        <w:spacing w:before="280"/>
        <w:jc w:val="left"/>
        <w:rPr>
          <w:rFonts w:ascii="Arial Narrow" w:hAnsi="Arial Narrow"/>
          <w:sz w:val="21"/>
          <w:szCs w:val="21"/>
        </w:rPr>
      </w:pPr>
      <w:r w:rsidRPr="001B6C68">
        <w:rPr>
          <w:rFonts w:ascii="Arial Narrow" w:hAnsi="Arial Narrow"/>
          <w:color w:val="2E5D8E"/>
          <w:sz w:val="21"/>
          <w:szCs w:val="21"/>
          <w:lang w:val="es-CO"/>
        </w:rPr>
        <w:t>IV. SEGUIMIENTO AL CUMPLIMIENTO DE OBLIGACIONES DEL PROYECTO</w:t>
      </w:r>
    </w:p>
    <w:p w14:paraId="14C74683" w14:textId="77777777" w:rsidR="00542C62" w:rsidRPr="001B6C68" w:rsidRDefault="00542C62">
      <w:pPr>
        <w:rPr>
          <w:rFonts w:ascii="Arial Narrow" w:hAnsi="Arial Narrow"/>
          <w:sz w:val="21"/>
          <w:szCs w:val="21"/>
        </w:rPr>
      </w:pPr>
    </w:p>
    <w:p w14:paraId="3BE8BE58" w14:textId="77777777" w:rsidR="00542C62" w:rsidRPr="001B6C68" w:rsidRDefault="004B1850">
      <w:pPr>
        <w:spacing w:before="200" w:after="100"/>
        <w:jc w:val="left"/>
        <w:rPr>
          <w:rFonts w:ascii="Arial Narrow" w:hAnsi="Arial Narrow"/>
          <w:b/>
          <w:bCs/>
          <w:sz w:val="21"/>
          <w:szCs w:val="21"/>
        </w:rPr>
      </w:pPr>
      <w:r w:rsidRPr="001B6C68">
        <w:rPr>
          <w:rFonts w:ascii="Arial Narrow" w:hAnsi="Arial Narrow"/>
          <w:b/>
          <w:bCs/>
          <w:color w:val="2E5D8E"/>
          <w:sz w:val="21"/>
          <w:szCs w:val="21"/>
          <w:lang w:val="es-CO"/>
        </w:rPr>
        <w:t>4.1 Sesión de Inicio — 24 de abril de 2026</w:t>
      </w:r>
    </w:p>
    <w:p w14:paraId="6ADB1CFE" w14:textId="10129518" w:rsidR="00542C62" w:rsidRPr="001B6C68" w:rsidRDefault="004B1850">
      <w:pPr>
        <w:spacing w:before="100" w:after="100"/>
        <w:rPr>
          <w:rFonts w:ascii="Arial Narrow" w:hAnsi="Arial Narrow"/>
          <w:sz w:val="21"/>
          <w:szCs w:val="21"/>
        </w:rPr>
      </w:pPr>
      <w:r w:rsidRPr="599A0894">
        <w:rPr>
          <w:rFonts w:ascii="Arial Narrow" w:hAnsi="Arial Narrow"/>
          <w:color w:val="000000" w:themeColor="text1"/>
          <w:sz w:val="21"/>
          <w:szCs w:val="21"/>
          <w:lang w:val="es-CO"/>
        </w:rPr>
        <w:t xml:space="preserve">El 24 de abril de 2026 se celebró la Sesión de Inicio del Contrato de Ejecución en el marco del Convenio No. 1248-2025, en las instalaciones de GEB (Calle 73, Sala 503), de conformidad con el numeral 3.1.9.1 del MOMOI. Participaron la SDHT (Juan Carlos Torres Vallejo, </w:t>
      </w:r>
      <w:r w:rsidR="2FEE2B9E" w:rsidRPr="599A0894">
        <w:rPr>
          <w:rFonts w:ascii="Arial Narrow" w:hAnsi="Arial Narrow"/>
          <w:color w:val="000000" w:themeColor="text1"/>
          <w:sz w:val="21"/>
          <w:szCs w:val="21"/>
          <w:lang w:val="es-CO"/>
        </w:rPr>
        <w:t>director</w:t>
      </w:r>
      <w:r w:rsidRPr="599A0894">
        <w:rPr>
          <w:rFonts w:ascii="Arial Narrow" w:hAnsi="Arial Narrow"/>
          <w:color w:val="000000" w:themeColor="text1"/>
          <w:sz w:val="21"/>
          <w:szCs w:val="21"/>
          <w:lang w:val="es-CO"/>
        </w:rPr>
        <w:t xml:space="preserve"> de Servicios Públicos) y Enlaza GEB (Rodrigo Augusto Hernández Ortiz, Gerente de Proyectos OxI), entre otros integrantes del equipo de apoyo a la supervisión.</w:t>
      </w:r>
    </w:p>
    <w:p w14:paraId="72F4331B" w14:textId="77777777" w:rsidR="00542C62" w:rsidRPr="001B6C68" w:rsidRDefault="00542C62">
      <w:pPr>
        <w:rPr>
          <w:rFonts w:ascii="Arial Narrow" w:hAnsi="Arial Narrow"/>
          <w:sz w:val="21"/>
          <w:szCs w:val="21"/>
        </w:rPr>
      </w:pPr>
    </w:p>
    <w:p w14:paraId="10E26668" w14:textId="006099F1" w:rsidR="00542C62" w:rsidRPr="001B6C68" w:rsidRDefault="004B1850" w:rsidP="001B6C68">
      <w:pPr>
        <w:spacing w:before="160" w:after="80"/>
        <w:jc w:val="left"/>
        <w:rPr>
          <w:rFonts w:ascii="Arial Narrow" w:hAnsi="Arial Narrow"/>
          <w:color w:val="31849B" w:themeColor="accent5" w:themeShade="BF"/>
          <w:sz w:val="21"/>
          <w:szCs w:val="21"/>
        </w:rPr>
      </w:pPr>
      <w:r w:rsidRPr="001B6C68">
        <w:rPr>
          <w:rFonts w:ascii="Arial Narrow" w:hAnsi="Arial Narrow"/>
          <w:color w:val="31849B" w:themeColor="accent5" w:themeShade="BF"/>
          <w:sz w:val="21"/>
          <w:szCs w:val="21"/>
          <w:lang w:val="es-CO"/>
        </w:rPr>
        <w:t>4.1.1 Verificación de requisitos formales de inicio — MOMOI §3.1.9.1 c) y d)</w:t>
      </w:r>
    </w:p>
    <w:tbl>
      <w:tblPr>
        <w:tblW w:w="896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3600"/>
        <w:gridCol w:w="3500"/>
        <w:gridCol w:w="1860"/>
      </w:tblGrid>
      <w:tr w:rsidR="00542C62" w:rsidRPr="001B6C68" w14:paraId="67B11438" w14:textId="77777777">
        <w:tc>
          <w:tcPr>
            <w:tcW w:w="36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587F7082"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FFFFFF"/>
                <w:sz w:val="18"/>
                <w:szCs w:val="18"/>
              </w:rPr>
              <w:t>Requisito</w:t>
            </w:r>
          </w:p>
        </w:tc>
        <w:tc>
          <w:tcPr>
            <w:tcW w:w="35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2C0C0511"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FFFFFF"/>
                <w:sz w:val="18"/>
                <w:szCs w:val="18"/>
              </w:rPr>
              <w:t>Detalle</w:t>
            </w:r>
          </w:p>
        </w:tc>
        <w:tc>
          <w:tcPr>
            <w:tcW w:w="186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642B2ED9"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FFFFFF"/>
                <w:sz w:val="18"/>
                <w:szCs w:val="18"/>
              </w:rPr>
              <w:t>Estado</w:t>
            </w:r>
          </w:p>
        </w:tc>
      </w:tr>
      <w:tr w:rsidR="00542C62" w:rsidRPr="001B6C68" w14:paraId="6AF256E7" w14:textId="77777777">
        <w:tc>
          <w:tcPr>
            <w:tcW w:w="36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0F619CEF"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Contratación del Ejecutor</w:t>
            </w:r>
          </w:p>
        </w:tc>
        <w:tc>
          <w:tcPr>
            <w:tcW w:w="35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2ECE4894"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Contrato No. 551008285 con ENEL Colombia S.A.S.P. Suscrito 12/12/2025. Acta de Inicio 12/03/2026.</w:t>
            </w:r>
          </w:p>
        </w:tc>
        <w:tc>
          <w:tcPr>
            <w:tcW w:w="18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3AC321BE"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1A7A1A"/>
                <w:sz w:val="18"/>
                <w:szCs w:val="18"/>
              </w:rPr>
              <w:t>CUMPLIDO</w:t>
            </w:r>
          </w:p>
        </w:tc>
      </w:tr>
      <w:tr w:rsidR="00542C62" w:rsidRPr="001B6C68" w14:paraId="7F7B61AD" w14:textId="77777777">
        <w:tc>
          <w:tcPr>
            <w:tcW w:w="3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6DFCD6CC"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Pólizas y Garantías</w:t>
            </w:r>
          </w:p>
        </w:tc>
        <w:tc>
          <w:tcPr>
            <w:tcW w:w="3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17C94C1E"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Aprobadas 11/02/2026. Ajuste de vigencias remitido a SDHT el 21/04/2026.</w:t>
            </w:r>
          </w:p>
        </w:tc>
        <w:tc>
          <w:tcPr>
            <w:tcW w:w="18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2079E60E"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1A7A1A"/>
                <w:sz w:val="18"/>
                <w:szCs w:val="18"/>
              </w:rPr>
              <w:t>CUMPLIDO</w:t>
            </w:r>
          </w:p>
        </w:tc>
      </w:tr>
      <w:tr w:rsidR="00542C62" w:rsidRPr="001B6C68" w14:paraId="536F8434" w14:textId="77777777">
        <w:tc>
          <w:tcPr>
            <w:tcW w:w="36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3B5F2BB3"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Verificación de Ajustes a Costos (</w:t>
            </w:r>
            <w:proofErr w:type="spellStart"/>
            <w:r w:rsidRPr="001B6C68">
              <w:rPr>
                <w:rFonts w:ascii="Arial Narrow" w:hAnsi="Arial Narrow"/>
                <w:color w:val="000000"/>
                <w:sz w:val="18"/>
                <w:szCs w:val="18"/>
              </w:rPr>
              <w:t>Segplan</w:t>
            </w:r>
            <w:proofErr w:type="spellEnd"/>
            <w:r w:rsidRPr="001B6C68">
              <w:rPr>
                <w:rFonts w:ascii="Arial Narrow" w:hAnsi="Arial Narrow"/>
                <w:color w:val="000000"/>
                <w:sz w:val="18"/>
                <w:szCs w:val="18"/>
              </w:rPr>
              <w:t xml:space="preserve"> 2.0)</w:t>
            </w:r>
          </w:p>
        </w:tc>
        <w:tc>
          <w:tcPr>
            <w:tcW w:w="35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4D1C43A0"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Sin ajustes a costos a la fecha de la sesión.</w:t>
            </w:r>
          </w:p>
        </w:tc>
        <w:tc>
          <w:tcPr>
            <w:tcW w:w="18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505B238C"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1A7A1A"/>
                <w:sz w:val="18"/>
                <w:szCs w:val="18"/>
              </w:rPr>
              <w:t>CUMPLIDO</w:t>
            </w:r>
          </w:p>
        </w:tc>
      </w:tr>
      <w:tr w:rsidR="00542C62" w:rsidRPr="001B6C68" w14:paraId="20A91FCF" w14:textId="77777777">
        <w:tc>
          <w:tcPr>
            <w:tcW w:w="3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782FB0A1"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Condiciones previas de obra — IDRD (5 autorizaciones)</w:t>
            </w:r>
          </w:p>
        </w:tc>
        <w:tc>
          <w:tcPr>
            <w:tcW w:w="35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58980659"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Certificación alturas 05/03/2026 · Rutas BT/MT Tunal 10/03/2026 · Campamento Tunal 16/03/2026 · Campamento San Cristóbal 10/04/2026 · Conexión SE San Cristóbal 10/04/2026.</w:t>
            </w:r>
          </w:p>
        </w:tc>
        <w:tc>
          <w:tcPr>
            <w:tcW w:w="18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5B3879E5"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1A7A1A"/>
                <w:sz w:val="18"/>
                <w:szCs w:val="18"/>
              </w:rPr>
              <w:t>CUMPLIDO</w:t>
            </w:r>
          </w:p>
        </w:tc>
      </w:tr>
      <w:tr w:rsidR="00542C62" w:rsidRPr="001B6C68" w14:paraId="07682720" w14:textId="77777777">
        <w:tc>
          <w:tcPr>
            <w:tcW w:w="36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133604F8"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 xml:space="preserve">Ajuste horizonte </w:t>
            </w:r>
            <w:proofErr w:type="spellStart"/>
            <w:r w:rsidRPr="001B6C68">
              <w:rPr>
                <w:rFonts w:ascii="Arial Narrow" w:hAnsi="Arial Narrow"/>
                <w:color w:val="000000"/>
                <w:sz w:val="18"/>
                <w:szCs w:val="18"/>
              </w:rPr>
              <w:t>Segplan</w:t>
            </w:r>
            <w:proofErr w:type="spellEnd"/>
            <w:r w:rsidRPr="001B6C68">
              <w:rPr>
                <w:rFonts w:ascii="Arial Narrow" w:hAnsi="Arial Narrow"/>
                <w:color w:val="000000"/>
                <w:sz w:val="18"/>
                <w:szCs w:val="18"/>
              </w:rPr>
              <w:t xml:space="preserve"> 2.0</w:t>
            </w:r>
          </w:p>
        </w:tc>
        <w:tc>
          <w:tcPr>
            <w:tcW w:w="35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1A695D7C"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 xml:space="preserve">Compromiso post-sesión: Enlaza GEB debía </w:t>
            </w:r>
            <w:r w:rsidRPr="001B6C68">
              <w:rPr>
                <w:rFonts w:ascii="Arial Narrow" w:hAnsi="Arial Narrow"/>
                <w:color w:val="000000"/>
                <w:sz w:val="18"/>
                <w:szCs w:val="18"/>
              </w:rPr>
              <w:lastRenderedPageBreak/>
              <w:t>tramitar ante SDHT antes del 29/04/2026.</w:t>
            </w:r>
          </w:p>
        </w:tc>
        <w:tc>
          <w:tcPr>
            <w:tcW w:w="1860" w:type="dxa"/>
            <w:tcBorders>
              <w:top w:val="single" w:sz="4" w:space="0" w:color="AAAAAA"/>
              <w:left w:val="single" w:sz="4" w:space="0" w:color="AAAAAA"/>
              <w:bottom w:val="single" w:sz="4" w:space="0" w:color="AAAAAA"/>
              <w:right w:val="single" w:sz="4" w:space="0" w:color="AAAAAA"/>
            </w:tcBorders>
            <w:shd w:val="clear" w:color="auto" w:fill="D0E4F5"/>
            <w:tcMar>
              <w:top w:w="80" w:type="dxa"/>
              <w:left w:w="120" w:type="dxa"/>
              <w:bottom w:w="80" w:type="dxa"/>
              <w:right w:w="120" w:type="dxa"/>
            </w:tcMar>
            <w:vAlign w:val="center"/>
          </w:tcPr>
          <w:p w14:paraId="57342B26"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1A5C8A"/>
                <w:sz w:val="18"/>
                <w:szCs w:val="18"/>
              </w:rPr>
              <w:lastRenderedPageBreak/>
              <w:t>EN SEGUIMIENTO</w:t>
            </w:r>
          </w:p>
        </w:tc>
      </w:tr>
    </w:tbl>
    <w:p w14:paraId="41B1B3B1" w14:textId="77777777" w:rsidR="00542C62" w:rsidRPr="001B6C68" w:rsidRDefault="00542C62">
      <w:pPr>
        <w:rPr>
          <w:rFonts w:ascii="Arial Narrow" w:hAnsi="Arial Narrow"/>
          <w:sz w:val="21"/>
          <w:szCs w:val="21"/>
        </w:rPr>
      </w:pPr>
    </w:p>
    <w:p w14:paraId="23833F4B" w14:textId="7B3B0F41" w:rsidR="00542C62" w:rsidRPr="001B6C68" w:rsidRDefault="004B1850" w:rsidP="001B6C68">
      <w:pPr>
        <w:spacing w:before="160" w:after="80"/>
        <w:jc w:val="left"/>
        <w:rPr>
          <w:rFonts w:ascii="Arial Narrow" w:hAnsi="Arial Narrow"/>
          <w:color w:val="31849B" w:themeColor="accent5" w:themeShade="BF"/>
          <w:sz w:val="21"/>
          <w:szCs w:val="21"/>
        </w:rPr>
      </w:pPr>
      <w:r w:rsidRPr="001B6C68">
        <w:rPr>
          <w:rFonts w:ascii="Arial Narrow" w:hAnsi="Arial Narrow"/>
          <w:color w:val="31849B" w:themeColor="accent5" w:themeShade="BF"/>
          <w:sz w:val="21"/>
          <w:szCs w:val="21"/>
          <w:lang w:val="es-CO"/>
        </w:rPr>
        <w:t>4.1.2 Hitos del cronograma aprobados — MOMOI §3.1.9.1 e)</w:t>
      </w:r>
    </w:p>
    <w:tbl>
      <w:tblPr>
        <w:tblW w:w="896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400"/>
        <w:gridCol w:w="3200"/>
        <w:gridCol w:w="2680"/>
        <w:gridCol w:w="2680"/>
      </w:tblGrid>
      <w:tr w:rsidR="00542C62" w:rsidRPr="001B6C68" w14:paraId="3E1E0796" w14:textId="77777777">
        <w:tc>
          <w:tcPr>
            <w:tcW w:w="4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7D1FF80F"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FFFFFF"/>
                <w:sz w:val="18"/>
                <w:szCs w:val="18"/>
              </w:rPr>
              <w:t>#</w:t>
            </w:r>
          </w:p>
        </w:tc>
        <w:tc>
          <w:tcPr>
            <w:tcW w:w="32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4E7C5328"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FFFFFF"/>
                <w:sz w:val="18"/>
                <w:szCs w:val="18"/>
              </w:rPr>
              <w:t>Hito</w:t>
            </w:r>
          </w:p>
        </w:tc>
        <w:tc>
          <w:tcPr>
            <w:tcW w:w="268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128EFB2D"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FFFFFF"/>
                <w:sz w:val="18"/>
                <w:szCs w:val="18"/>
              </w:rPr>
              <w:t>CEFE Tunal</w:t>
            </w:r>
          </w:p>
        </w:tc>
        <w:tc>
          <w:tcPr>
            <w:tcW w:w="268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1246B86E"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FFFFFF"/>
                <w:sz w:val="18"/>
                <w:szCs w:val="18"/>
              </w:rPr>
              <w:t>CEFE San Cristóbal</w:t>
            </w:r>
          </w:p>
        </w:tc>
      </w:tr>
      <w:tr w:rsidR="00542C62" w:rsidRPr="001B6C68" w14:paraId="7B8B9D80" w14:textId="77777777">
        <w:tc>
          <w:tcPr>
            <w:tcW w:w="4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2115E51A"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1</w:t>
            </w:r>
          </w:p>
        </w:tc>
        <w:tc>
          <w:tcPr>
            <w:tcW w:w="3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6002E797"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Inicio formal actividades</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6A7B8131"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12 mar. 2026</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1F181FE0"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12 mar. 2026</w:t>
            </w:r>
          </w:p>
        </w:tc>
      </w:tr>
      <w:tr w:rsidR="00542C62" w:rsidRPr="001B6C68" w14:paraId="2436A9FE" w14:textId="77777777">
        <w:tc>
          <w:tcPr>
            <w:tcW w:w="4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3626427E"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2</w:t>
            </w:r>
          </w:p>
        </w:tc>
        <w:tc>
          <w:tcPr>
            <w:tcW w:w="32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74D1B383"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Obras conexión MT/BT</w:t>
            </w:r>
          </w:p>
        </w:tc>
        <w:tc>
          <w:tcPr>
            <w:tcW w:w="268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2BE09D54"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30 jul. 2026</w:t>
            </w:r>
          </w:p>
        </w:tc>
        <w:tc>
          <w:tcPr>
            <w:tcW w:w="268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63007934"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28 jul. 2026</w:t>
            </w:r>
          </w:p>
        </w:tc>
      </w:tr>
      <w:tr w:rsidR="00542C62" w:rsidRPr="001B6C68" w14:paraId="539651D3" w14:textId="77777777">
        <w:tc>
          <w:tcPr>
            <w:tcW w:w="4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6024308A"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3</w:t>
            </w:r>
          </w:p>
        </w:tc>
        <w:tc>
          <w:tcPr>
            <w:tcW w:w="3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676711F8"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Instalación módulos solares</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78295040"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7 jul. 2026</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63F89C70"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30 jun. 2026</w:t>
            </w:r>
          </w:p>
        </w:tc>
      </w:tr>
      <w:tr w:rsidR="00542C62" w:rsidRPr="001B6C68" w14:paraId="39834BDF" w14:textId="77777777">
        <w:tc>
          <w:tcPr>
            <w:tcW w:w="4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48CDDD06"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4</w:t>
            </w:r>
          </w:p>
        </w:tc>
        <w:tc>
          <w:tcPr>
            <w:tcW w:w="32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1CA51310"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Puesta en operación SSFV</w:t>
            </w:r>
          </w:p>
        </w:tc>
        <w:tc>
          <w:tcPr>
            <w:tcW w:w="268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03D9052A"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11 sep. 2026</w:t>
            </w:r>
          </w:p>
        </w:tc>
        <w:tc>
          <w:tcPr>
            <w:tcW w:w="268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37A7C026"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11 sep. 2026</w:t>
            </w:r>
          </w:p>
        </w:tc>
      </w:tr>
      <w:tr w:rsidR="00542C62" w:rsidRPr="001B6C68" w14:paraId="2FCEF17B" w14:textId="77777777">
        <w:tc>
          <w:tcPr>
            <w:tcW w:w="4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7D026A39"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5</w:t>
            </w:r>
          </w:p>
        </w:tc>
        <w:tc>
          <w:tcPr>
            <w:tcW w:w="3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60B20018"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Internet / Iluminación cancha (tentativo — sujeto a definición IDRD)</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27BA8E6F"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30 oct. 2026</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3AF6F983"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30 oct. 2026</w:t>
            </w:r>
          </w:p>
        </w:tc>
      </w:tr>
      <w:tr w:rsidR="00542C62" w:rsidRPr="001B6C68" w14:paraId="66DCFB9B" w14:textId="77777777">
        <w:tc>
          <w:tcPr>
            <w:tcW w:w="4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3112BBD3"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6</w:t>
            </w:r>
          </w:p>
        </w:tc>
        <w:tc>
          <w:tcPr>
            <w:tcW w:w="32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36BC53B6"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Liquidación y cierre</w:t>
            </w:r>
          </w:p>
        </w:tc>
        <w:tc>
          <w:tcPr>
            <w:tcW w:w="268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71E44096"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15 nov. 2026</w:t>
            </w:r>
          </w:p>
        </w:tc>
        <w:tc>
          <w:tcPr>
            <w:tcW w:w="268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5C8EA1AB"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15 nov. 2026</w:t>
            </w:r>
          </w:p>
        </w:tc>
      </w:tr>
    </w:tbl>
    <w:p w14:paraId="46AD4505" w14:textId="77777777" w:rsidR="00542C62" w:rsidRPr="001B6C68" w:rsidRDefault="00542C62">
      <w:pPr>
        <w:rPr>
          <w:rFonts w:ascii="Arial Narrow" w:hAnsi="Arial Narrow"/>
          <w:sz w:val="21"/>
          <w:szCs w:val="21"/>
        </w:rPr>
      </w:pPr>
    </w:p>
    <w:p w14:paraId="003DB73F" w14:textId="77777777" w:rsidR="00542C62" w:rsidRPr="001B6C68" w:rsidRDefault="004B1850">
      <w:pPr>
        <w:spacing w:before="200" w:after="100"/>
        <w:jc w:val="left"/>
        <w:rPr>
          <w:rFonts w:ascii="Arial Narrow" w:hAnsi="Arial Narrow"/>
          <w:b/>
          <w:bCs/>
          <w:sz w:val="21"/>
          <w:szCs w:val="21"/>
        </w:rPr>
      </w:pPr>
      <w:r w:rsidRPr="001B6C68">
        <w:rPr>
          <w:rFonts w:ascii="Arial Narrow" w:hAnsi="Arial Narrow"/>
          <w:b/>
          <w:bCs/>
          <w:color w:val="2E5D8E"/>
          <w:sz w:val="21"/>
          <w:szCs w:val="21"/>
          <w:lang w:val="es-CO"/>
        </w:rPr>
        <w:t>4.2 Informes Mensuales de Seguimiento del Contribuyente — MOMOI §3.1.10.4</w:t>
      </w:r>
    </w:p>
    <w:p w14:paraId="06CB106B" w14:textId="23C5328A" w:rsidR="00542C62" w:rsidRPr="001B6C68" w:rsidRDefault="004B1850" w:rsidP="001B6C68">
      <w:pPr>
        <w:spacing w:before="100" w:after="100"/>
        <w:rPr>
          <w:rFonts w:ascii="Arial Narrow" w:hAnsi="Arial Narrow"/>
          <w:sz w:val="21"/>
          <w:szCs w:val="21"/>
        </w:rPr>
      </w:pPr>
      <w:r w:rsidRPr="001B6C68">
        <w:rPr>
          <w:rFonts w:ascii="Arial Narrow" w:hAnsi="Arial Narrow"/>
          <w:color w:val="000000"/>
          <w:sz w:val="21"/>
          <w:szCs w:val="21"/>
          <w:lang w:val="es-CO"/>
        </w:rPr>
        <w:t xml:space="preserve">Conforme al MOMOI, el Contribuyente (Enlaza GEB) está obligado a remitir a la SDHT los primeros cinco (5) días hábiles de cada mes un Reporte Mensual de Avances con los avances físicos, financieros y los soportes de pagos del mes anterior. A la fecha de corte del presente informe se han recibido y revisado los informes correspondientes a los meses de marzo, abril y mayo de 2026, elaborados por Marcela Neva, revisados y aprobados por Rodrigo A. Hernández O., Gerente de Proyectos </w:t>
      </w:r>
      <w:proofErr w:type="spellStart"/>
      <w:r w:rsidRPr="001B6C68">
        <w:rPr>
          <w:rFonts w:ascii="Arial Narrow" w:hAnsi="Arial Narrow"/>
          <w:color w:val="000000"/>
          <w:sz w:val="21"/>
          <w:szCs w:val="21"/>
          <w:lang w:val="es-CO"/>
        </w:rPr>
        <w:t>OxI</w:t>
      </w:r>
      <w:proofErr w:type="spellEnd"/>
      <w:r w:rsidRPr="001B6C68">
        <w:rPr>
          <w:rFonts w:ascii="Arial Narrow" w:hAnsi="Arial Narrow"/>
          <w:color w:val="000000"/>
          <w:sz w:val="21"/>
          <w:szCs w:val="21"/>
          <w:lang w:val="es-CO"/>
        </w:rPr>
        <w:t xml:space="preserve"> de Enlaza GEB.</w:t>
      </w:r>
    </w:p>
    <w:p w14:paraId="670B7703" w14:textId="5F30B09F" w:rsidR="00542C62" w:rsidRPr="001B6C68" w:rsidRDefault="004B1850" w:rsidP="001B6C68">
      <w:pPr>
        <w:spacing w:before="160" w:after="80"/>
        <w:jc w:val="left"/>
        <w:rPr>
          <w:rFonts w:ascii="Arial Narrow" w:hAnsi="Arial Narrow"/>
          <w:color w:val="31849B" w:themeColor="accent5" w:themeShade="BF"/>
          <w:sz w:val="21"/>
          <w:szCs w:val="21"/>
        </w:rPr>
      </w:pPr>
      <w:r w:rsidRPr="001B6C68">
        <w:rPr>
          <w:rFonts w:ascii="Arial Narrow" w:hAnsi="Arial Narrow"/>
          <w:color w:val="31849B" w:themeColor="accent5" w:themeShade="BF"/>
          <w:sz w:val="21"/>
          <w:szCs w:val="21"/>
          <w:lang w:val="es-CO"/>
        </w:rPr>
        <w:t>4.2.1 Estado de entrega de reportes mensuales</w:t>
      </w:r>
    </w:p>
    <w:tbl>
      <w:tblPr>
        <w:tblW w:w="996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1800"/>
        <w:gridCol w:w="2400"/>
        <w:gridCol w:w="2000"/>
        <w:gridCol w:w="1400"/>
        <w:gridCol w:w="2360"/>
      </w:tblGrid>
      <w:tr w:rsidR="00542C62" w:rsidRPr="001B6C68" w14:paraId="701FDC02" w14:textId="77777777" w:rsidTr="77D38289">
        <w:tc>
          <w:tcPr>
            <w:tcW w:w="18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3DE1A5D3"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Informe</w:t>
            </w:r>
          </w:p>
        </w:tc>
        <w:tc>
          <w:tcPr>
            <w:tcW w:w="24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14A37389"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Código GEB</w:t>
            </w:r>
          </w:p>
        </w:tc>
        <w:tc>
          <w:tcPr>
            <w:tcW w:w="20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5D94071D"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Fecha de entrega</w:t>
            </w:r>
          </w:p>
        </w:tc>
        <w:tc>
          <w:tcPr>
            <w:tcW w:w="14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12E1D428"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Páginas</w:t>
            </w:r>
          </w:p>
        </w:tc>
        <w:tc>
          <w:tcPr>
            <w:tcW w:w="236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7C94B63A"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Estado</w:t>
            </w:r>
          </w:p>
        </w:tc>
      </w:tr>
      <w:tr w:rsidR="00542C62" w:rsidRPr="001B6C68" w14:paraId="7983DA9D" w14:textId="77777777" w:rsidTr="77D38289">
        <w:tc>
          <w:tcPr>
            <w:tcW w:w="18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11482C32"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Marzo 2026</w:t>
            </w:r>
          </w:p>
        </w:tc>
        <w:tc>
          <w:tcPr>
            <w:tcW w:w="24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18D42A32"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ENLAZAGEB-OXI-CONV1248-2025-ADM-0001-0</w:t>
            </w:r>
          </w:p>
        </w:tc>
        <w:tc>
          <w:tcPr>
            <w:tcW w:w="20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1E638434"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000000"/>
                <w:sz w:val="21"/>
                <w:szCs w:val="21"/>
              </w:rPr>
              <w:t>10/04/2026</w:t>
            </w:r>
          </w:p>
        </w:tc>
        <w:tc>
          <w:tcPr>
            <w:tcW w:w="14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6AD36FAB"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000000"/>
                <w:sz w:val="21"/>
                <w:szCs w:val="21"/>
              </w:rPr>
              <w:t>10</w:t>
            </w:r>
          </w:p>
        </w:tc>
        <w:tc>
          <w:tcPr>
            <w:tcW w:w="23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4C6FD67A"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1A7A1A"/>
                <w:sz w:val="21"/>
                <w:szCs w:val="21"/>
              </w:rPr>
              <w:t>CUMPLIDO</w:t>
            </w:r>
          </w:p>
        </w:tc>
      </w:tr>
      <w:tr w:rsidR="00542C62" w:rsidRPr="001B6C68" w14:paraId="3D2590C4" w14:textId="77777777" w:rsidTr="77D38289">
        <w:tc>
          <w:tcPr>
            <w:tcW w:w="1800"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80" w:type="dxa"/>
              <w:left w:w="120" w:type="dxa"/>
              <w:bottom w:w="80" w:type="dxa"/>
              <w:right w:w="120" w:type="dxa"/>
            </w:tcMar>
            <w:vAlign w:val="center"/>
          </w:tcPr>
          <w:p w14:paraId="5266A023"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Abril 2026</w:t>
            </w:r>
          </w:p>
        </w:tc>
        <w:tc>
          <w:tcPr>
            <w:tcW w:w="2400"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80" w:type="dxa"/>
              <w:left w:w="120" w:type="dxa"/>
              <w:bottom w:w="80" w:type="dxa"/>
              <w:right w:w="120" w:type="dxa"/>
            </w:tcMar>
            <w:vAlign w:val="center"/>
          </w:tcPr>
          <w:p w14:paraId="461A3628"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ENLAZAGEB-OXI-CONV1248-2025-ADM-</w:t>
            </w:r>
            <w:r w:rsidRPr="001B6C68">
              <w:rPr>
                <w:rFonts w:ascii="Arial Narrow" w:hAnsi="Arial Narrow"/>
                <w:color w:val="000000"/>
                <w:sz w:val="21"/>
                <w:szCs w:val="21"/>
              </w:rPr>
              <w:lastRenderedPageBreak/>
              <w:t>0002-0</w:t>
            </w:r>
          </w:p>
        </w:tc>
        <w:tc>
          <w:tcPr>
            <w:tcW w:w="2000"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80" w:type="dxa"/>
              <w:left w:w="120" w:type="dxa"/>
              <w:bottom w:w="80" w:type="dxa"/>
              <w:right w:w="120" w:type="dxa"/>
            </w:tcMar>
            <w:vAlign w:val="center"/>
          </w:tcPr>
          <w:p w14:paraId="769C7565"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000000"/>
                <w:sz w:val="21"/>
                <w:szCs w:val="21"/>
              </w:rPr>
              <w:lastRenderedPageBreak/>
              <w:t>06/05/2026</w:t>
            </w:r>
          </w:p>
        </w:tc>
        <w:tc>
          <w:tcPr>
            <w:tcW w:w="1400"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80" w:type="dxa"/>
              <w:left w:w="120" w:type="dxa"/>
              <w:bottom w:w="80" w:type="dxa"/>
              <w:right w:w="120" w:type="dxa"/>
            </w:tcMar>
            <w:vAlign w:val="center"/>
          </w:tcPr>
          <w:p w14:paraId="6B508DDD"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000000"/>
                <w:sz w:val="21"/>
                <w:szCs w:val="21"/>
              </w:rPr>
              <w:t>20</w:t>
            </w:r>
          </w:p>
        </w:tc>
        <w:tc>
          <w:tcPr>
            <w:tcW w:w="23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0C5F3FF7"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1A7A1A"/>
                <w:sz w:val="21"/>
                <w:szCs w:val="21"/>
              </w:rPr>
              <w:t>CUMPLIDO</w:t>
            </w:r>
          </w:p>
        </w:tc>
      </w:tr>
      <w:tr w:rsidR="00542C62" w:rsidRPr="001B6C68" w14:paraId="771C93F5" w14:textId="77777777" w:rsidTr="77D38289">
        <w:tc>
          <w:tcPr>
            <w:tcW w:w="18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652F8538"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Mayo 2026</w:t>
            </w:r>
          </w:p>
        </w:tc>
        <w:tc>
          <w:tcPr>
            <w:tcW w:w="24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6B16A343"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ENLAZAGEB-OXI-CONV1248-2025-ADM-0003-0</w:t>
            </w:r>
          </w:p>
        </w:tc>
        <w:tc>
          <w:tcPr>
            <w:tcW w:w="20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5E822D16"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000000" w:themeColor="text1"/>
                <w:sz w:val="21"/>
                <w:szCs w:val="21"/>
              </w:rPr>
              <w:t>05/06/2026 (SIGA 1-2026-31175)</w:t>
            </w:r>
          </w:p>
        </w:tc>
        <w:tc>
          <w:tcPr>
            <w:tcW w:w="14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43088679"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000000"/>
                <w:sz w:val="21"/>
                <w:szCs w:val="21"/>
              </w:rPr>
              <w:t>24</w:t>
            </w:r>
          </w:p>
        </w:tc>
        <w:tc>
          <w:tcPr>
            <w:tcW w:w="2360" w:type="dxa"/>
            <w:tcBorders>
              <w:top w:val="single" w:sz="4" w:space="0" w:color="AAAAAA"/>
              <w:left w:val="single" w:sz="4" w:space="0" w:color="AAAAAA"/>
              <w:bottom w:val="single" w:sz="4" w:space="0" w:color="AAAAAA"/>
              <w:right w:val="single" w:sz="4" w:space="0" w:color="AAAAAA"/>
            </w:tcBorders>
            <w:shd w:val="clear" w:color="auto" w:fill="F5D0D0"/>
            <w:tcMar>
              <w:top w:w="80" w:type="dxa"/>
              <w:left w:w="120" w:type="dxa"/>
              <w:bottom w:w="80" w:type="dxa"/>
              <w:right w:w="120" w:type="dxa"/>
            </w:tcMar>
            <w:vAlign w:val="center"/>
          </w:tcPr>
          <w:p w14:paraId="391BB5DC" w14:textId="77777777" w:rsidR="00542C62" w:rsidRPr="001B6C68" w:rsidRDefault="004B1850" w:rsidP="77D38289">
            <w:pPr>
              <w:spacing w:before="40" w:after="40"/>
              <w:jc w:val="center"/>
              <w:rPr>
                <w:rFonts w:ascii="Arial Narrow" w:hAnsi="Arial Narrow"/>
                <w:color w:val="8A1A1A"/>
                <w:sz w:val="21"/>
                <w:szCs w:val="21"/>
              </w:rPr>
            </w:pPr>
            <w:r w:rsidRPr="001B6C68">
              <w:rPr>
                <w:rFonts w:ascii="Arial Narrow" w:hAnsi="Arial Narrow"/>
                <w:color w:val="8A1A1A"/>
                <w:sz w:val="21"/>
                <w:szCs w:val="21"/>
              </w:rPr>
              <w:t>CUMPLIDO CON OBSERVACIONES (Oficio SDH 2-2026-46452 del 30/06/2026)</w:t>
            </w:r>
          </w:p>
        </w:tc>
      </w:tr>
    </w:tbl>
    <w:p w14:paraId="1E651272" w14:textId="77777777" w:rsidR="00542C62" w:rsidRPr="001B6C68" w:rsidRDefault="00542C62">
      <w:pPr>
        <w:rPr>
          <w:rFonts w:ascii="Arial Narrow" w:hAnsi="Arial Narrow"/>
          <w:sz w:val="21"/>
          <w:szCs w:val="21"/>
        </w:rPr>
      </w:pPr>
    </w:p>
    <w:p w14:paraId="4BE274A7" w14:textId="0F2D61A1" w:rsidR="00542C62" w:rsidRPr="001B6C68" w:rsidRDefault="004B1850" w:rsidP="00130B83">
      <w:pPr>
        <w:spacing w:before="160" w:after="80"/>
        <w:jc w:val="left"/>
        <w:rPr>
          <w:rFonts w:ascii="Arial Narrow" w:hAnsi="Arial Narrow"/>
          <w:color w:val="31849B" w:themeColor="accent5" w:themeShade="BF"/>
          <w:sz w:val="21"/>
          <w:szCs w:val="21"/>
        </w:rPr>
      </w:pPr>
      <w:r w:rsidRPr="001B6C68">
        <w:rPr>
          <w:rFonts w:ascii="Arial Narrow" w:hAnsi="Arial Narrow"/>
          <w:color w:val="31849B" w:themeColor="accent5" w:themeShade="BF"/>
          <w:sz w:val="21"/>
          <w:szCs w:val="21"/>
          <w:lang w:val="es-CO"/>
        </w:rPr>
        <w:t>4.2.2 Informe de seguimiento — Marzo de 2026 (Código: ADM-0001-0)</w:t>
      </w:r>
    </w:p>
    <w:p w14:paraId="68853608" w14:textId="71788698" w:rsidR="00542C62" w:rsidRPr="003A6CF2" w:rsidRDefault="004B1850" w:rsidP="00130B83">
      <w:pPr>
        <w:spacing w:after="60"/>
        <w:jc w:val="left"/>
        <w:rPr>
          <w:rFonts w:ascii="Arial Narrow" w:hAnsi="Arial Narrow"/>
          <w:b/>
          <w:bCs/>
          <w:color w:val="000000" w:themeColor="text1"/>
          <w:sz w:val="21"/>
          <w:szCs w:val="21"/>
        </w:rPr>
      </w:pPr>
      <w:r w:rsidRPr="003A6CF2">
        <w:rPr>
          <w:rFonts w:ascii="Arial Narrow" w:hAnsi="Arial Narrow"/>
          <w:b/>
          <w:bCs/>
          <w:color w:val="000000" w:themeColor="text1"/>
          <w:sz w:val="21"/>
          <w:szCs w:val="21"/>
          <w:lang w:val="es-CO"/>
        </w:rPr>
        <w:t>Avance físico del proyecto — Corte 27 de marzo de 2026</w:t>
      </w:r>
    </w:p>
    <w:tbl>
      <w:tblPr>
        <w:tblW w:w="996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2000"/>
        <w:gridCol w:w="1800"/>
        <w:gridCol w:w="1800"/>
        <w:gridCol w:w="1600"/>
        <w:gridCol w:w="2760"/>
      </w:tblGrid>
      <w:tr w:rsidR="00542C62" w:rsidRPr="001B6C68" w14:paraId="17C3679D" w14:textId="77777777">
        <w:tc>
          <w:tcPr>
            <w:tcW w:w="20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5976CFC2"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CEFE</w:t>
            </w:r>
          </w:p>
        </w:tc>
        <w:tc>
          <w:tcPr>
            <w:tcW w:w="18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3E0D332C"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Avance físico</w:t>
            </w:r>
          </w:p>
        </w:tc>
        <w:tc>
          <w:tcPr>
            <w:tcW w:w="18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1B70F5D4"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Proyectado</w:t>
            </w:r>
          </w:p>
        </w:tc>
        <w:tc>
          <w:tcPr>
            <w:tcW w:w="16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57938D7F"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Desviación</w:t>
            </w:r>
          </w:p>
        </w:tc>
        <w:tc>
          <w:tcPr>
            <w:tcW w:w="276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52A825EA"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Estado</w:t>
            </w:r>
          </w:p>
        </w:tc>
      </w:tr>
      <w:tr w:rsidR="00542C62" w:rsidRPr="001B6C68" w14:paraId="57FE28C3" w14:textId="77777777">
        <w:tc>
          <w:tcPr>
            <w:tcW w:w="20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3E6AB133"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CEFE Tunal</w:t>
            </w:r>
          </w:p>
        </w:tc>
        <w:tc>
          <w:tcPr>
            <w:tcW w:w="18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1E1CD017"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000000"/>
                <w:sz w:val="21"/>
                <w:szCs w:val="21"/>
              </w:rPr>
              <w:t>14%</w:t>
            </w:r>
          </w:p>
        </w:tc>
        <w:tc>
          <w:tcPr>
            <w:tcW w:w="18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5267BEAC"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000000"/>
                <w:sz w:val="21"/>
                <w:szCs w:val="21"/>
              </w:rPr>
              <w:t>10%</w:t>
            </w:r>
          </w:p>
        </w:tc>
        <w:tc>
          <w:tcPr>
            <w:tcW w:w="16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710AAECA"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1A7A1A"/>
                <w:sz w:val="21"/>
                <w:szCs w:val="21"/>
              </w:rPr>
              <w:t>+4%</w:t>
            </w:r>
          </w:p>
        </w:tc>
        <w:tc>
          <w:tcPr>
            <w:tcW w:w="27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41E06136"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1A7A1A"/>
                <w:sz w:val="21"/>
                <w:szCs w:val="21"/>
              </w:rPr>
              <w:t>ADELANTADO</w:t>
            </w:r>
          </w:p>
        </w:tc>
      </w:tr>
      <w:tr w:rsidR="00542C62" w:rsidRPr="001B6C68" w14:paraId="1E0775CE" w14:textId="77777777">
        <w:tc>
          <w:tcPr>
            <w:tcW w:w="2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4C6E9A01"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CEFE San Cristóbal</w:t>
            </w:r>
          </w:p>
        </w:tc>
        <w:tc>
          <w:tcPr>
            <w:tcW w:w="18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4A16F80C"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000000"/>
                <w:sz w:val="21"/>
                <w:szCs w:val="21"/>
              </w:rPr>
              <w:t>4%</w:t>
            </w:r>
          </w:p>
        </w:tc>
        <w:tc>
          <w:tcPr>
            <w:tcW w:w="18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6E36BC79"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000000"/>
                <w:sz w:val="21"/>
                <w:szCs w:val="21"/>
              </w:rPr>
              <w:t>9%</w:t>
            </w:r>
          </w:p>
        </w:tc>
        <w:tc>
          <w:tcPr>
            <w:tcW w:w="1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44E95F2C"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8A1A1A"/>
                <w:sz w:val="21"/>
                <w:szCs w:val="21"/>
              </w:rPr>
              <w:t>-5%</w:t>
            </w:r>
          </w:p>
        </w:tc>
        <w:tc>
          <w:tcPr>
            <w:tcW w:w="2760" w:type="dxa"/>
            <w:tcBorders>
              <w:top w:val="single" w:sz="4" w:space="0" w:color="AAAAAA"/>
              <w:left w:val="single" w:sz="4" w:space="0" w:color="AAAAAA"/>
              <w:bottom w:val="single" w:sz="4" w:space="0" w:color="AAAAAA"/>
              <w:right w:val="single" w:sz="4" w:space="0" w:color="AAAAAA"/>
            </w:tcBorders>
            <w:shd w:val="clear" w:color="auto" w:fill="FFF3CD"/>
            <w:tcMar>
              <w:top w:w="80" w:type="dxa"/>
              <w:left w:w="120" w:type="dxa"/>
              <w:bottom w:w="80" w:type="dxa"/>
              <w:right w:w="120" w:type="dxa"/>
            </w:tcMar>
            <w:vAlign w:val="center"/>
          </w:tcPr>
          <w:p w14:paraId="47F50682"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856404"/>
                <w:sz w:val="21"/>
                <w:szCs w:val="21"/>
              </w:rPr>
              <w:t>EN RIESGO</w:t>
            </w:r>
          </w:p>
        </w:tc>
      </w:tr>
    </w:tbl>
    <w:p w14:paraId="2D0859AD" w14:textId="7818D76E" w:rsidR="00130B83" w:rsidRPr="001B6C68" w:rsidRDefault="00130B83" w:rsidP="00130B83">
      <w:pPr>
        <w:pStyle w:val="p1"/>
        <w:rPr>
          <w:rFonts w:ascii="Arial Narrow" w:hAnsi="Arial Narrow"/>
          <w:color w:val="000000" w:themeColor="text1"/>
          <w:sz w:val="21"/>
          <w:szCs w:val="21"/>
        </w:rPr>
      </w:pPr>
      <w:r w:rsidRPr="001B6C68">
        <w:rPr>
          <w:rFonts w:ascii="Arial Narrow" w:hAnsi="Arial Narrow"/>
          <w:color w:val="000000" w:themeColor="text1"/>
          <w:sz w:val="21"/>
          <w:szCs w:val="21"/>
        </w:rPr>
        <w:t>Tabla tomada del informe ENLAZAGEB-OXI-CONV1248-2025-ADM-0001-0</w:t>
      </w:r>
    </w:p>
    <w:p w14:paraId="2977C705" w14:textId="77777777" w:rsidR="00542C62" w:rsidRPr="001B6C68" w:rsidRDefault="00542C62">
      <w:pPr>
        <w:rPr>
          <w:rFonts w:ascii="Arial Narrow" w:hAnsi="Arial Narrow"/>
          <w:sz w:val="21"/>
          <w:szCs w:val="21"/>
        </w:rPr>
      </w:pPr>
    </w:p>
    <w:p w14:paraId="4AF17B5F" w14:textId="1806BC3D" w:rsidR="00542C62" w:rsidRPr="001B6C68" w:rsidRDefault="004B1850" w:rsidP="77D38289">
      <w:pPr>
        <w:spacing w:after="60"/>
        <w:jc w:val="left"/>
        <w:rPr>
          <w:rFonts w:ascii="Arial Narrow" w:hAnsi="Arial Narrow"/>
          <w:b/>
          <w:bCs/>
          <w:color w:val="000000" w:themeColor="text1"/>
          <w:sz w:val="21"/>
          <w:szCs w:val="21"/>
        </w:rPr>
      </w:pPr>
      <w:r w:rsidRPr="001B6C68">
        <w:rPr>
          <w:rFonts w:ascii="Arial Narrow" w:hAnsi="Arial Narrow"/>
          <w:b/>
          <w:bCs/>
          <w:color w:val="000000" w:themeColor="text1"/>
          <w:sz w:val="21"/>
          <w:szCs w:val="21"/>
          <w:lang w:val="es-CO"/>
        </w:rPr>
        <w:t>Actividades ejecutadas en marzo — CEFE San Cristóbal</w:t>
      </w:r>
      <w:r w:rsidR="00130B83" w:rsidRPr="001B6C68">
        <w:rPr>
          <w:rFonts w:ascii="Arial Narrow" w:hAnsi="Arial Narrow"/>
          <w:b/>
          <w:bCs/>
          <w:color w:val="000000" w:themeColor="text1"/>
          <w:sz w:val="21"/>
          <w:szCs w:val="21"/>
        </w:rPr>
        <w:t xml:space="preserve">: </w:t>
      </w:r>
    </w:p>
    <w:p w14:paraId="41F2E123" w14:textId="19F960E2" w:rsidR="00DE66E8" w:rsidRPr="001B6C68" w:rsidRDefault="005D1A2E" w:rsidP="001B6C68">
      <w:pPr>
        <w:spacing w:before="0" w:after="0"/>
        <w:rPr>
          <w:rFonts w:ascii="Arial Narrow" w:hAnsi="Arial Narrow"/>
          <w:sz w:val="21"/>
          <w:szCs w:val="21"/>
          <w:lang w:val="es-CO"/>
        </w:rPr>
      </w:pPr>
      <w:r w:rsidRPr="001B6C68">
        <w:rPr>
          <w:rFonts w:ascii="Arial Narrow" w:hAnsi="Arial Narrow"/>
          <w:sz w:val="21"/>
          <w:szCs w:val="21"/>
          <w:lang w:val="es-CO"/>
        </w:rPr>
        <w:t>a) Actividades de campamento: En visita realizada por GEB ENLAZA y el IDRD al CEFE San Cristóbal el 17 de marzo de 2026, se definió una nueva ubicación del campamento que de acuerdo con la revisión del Administrador del Parque corresponde a un punto donde se facilita el acceso de los vehículos para traslado de equipos y suministros. Dada que esta ubicación mejora la logística a desarrollar se requiere el cambio de acuerdo con lo definido inicialmente; este cambio a su</w:t>
      </w:r>
      <w:r w:rsidR="00DE66E8" w:rsidRPr="001B6C68">
        <w:rPr>
          <w:rFonts w:ascii="Arial Narrow" w:hAnsi="Arial Narrow"/>
          <w:sz w:val="21"/>
          <w:szCs w:val="21"/>
          <w:lang w:val="es-CO"/>
        </w:rPr>
        <w:t xml:space="preserve"> vez requiere aprobación interna del área de Administración de Escenarios del IDRD, la cual se encuentra en trámite a la fecha por parte de esta entidad.</w:t>
      </w:r>
    </w:p>
    <w:p w14:paraId="093C7E88" w14:textId="77777777" w:rsidR="00DE66E8" w:rsidRPr="001B6C68" w:rsidRDefault="00DE66E8" w:rsidP="001B6C68">
      <w:pPr>
        <w:spacing w:before="0" w:after="0"/>
        <w:rPr>
          <w:rFonts w:ascii="Arial Narrow" w:hAnsi="Arial Narrow"/>
          <w:sz w:val="21"/>
          <w:szCs w:val="21"/>
          <w:lang w:val="es-CO"/>
        </w:rPr>
      </w:pPr>
    </w:p>
    <w:p w14:paraId="615B32A7" w14:textId="0936216B" w:rsidR="00DE66E8" w:rsidRPr="001B6C68" w:rsidRDefault="00DE66E8" w:rsidP="001B6C68">
      <w:pPr>
        <w:spacing w:before="0" w:after="0"/>
        <w:rPr>
          <w:rFonts w:ascii="Arial Narrow" w:hAnsi="Arial Narrow"/>
          <w:sz w:val="21"/>
          <w:szCs w:val="21"/>
          <w:lang w:val="es-CO"/>
        </w:rPr>
      </w:pPr>
      <w:r w:rsidRPr="001B6C68">
        <w:rPr>
          <w:rFonts w:ascii="Arial Narrow" w:hAnsi="Arial Narrow"/>
          <w:sz w:val="21"/>
          <w:szCs w:val="21"/>
          <w:lang w:val="es-CO"/>
        </w:rPr>
        <w:t>b) Aprobación de la conexión a la punta 9 de la subestación existente: A la fecha se encuentra pendiente la aprobación por parte del IDRD la cual se ha vendido gestionando desde la firma del contrato con ENEL en el mes de diciembre de 2025. Este insumo es necesario para adelantar los ajustes y complementos a la ingeniería de detalle.</w:t>
      </w:r>
    </w:p>
    <w:p w14:paraId="0A0194FD" w14:textId="77777777" w:rsidR="00DE66E8" w:rsidRPr="001B6C68" w:rsidRDefault="00DE66E8" w:rsidP="001B6C68">
      <w:pPr>
        <w:spacing w:before="0" w:after="0"/>
        <w:rPr>
          <w:rFonts w:ascii="Arial Narrow" w:hAnsi="Arial Narrow"/>
          <w:sz w:val="21"/>
          <w:szCs w:val="21"/>
          <w:lang w:val="es-CO"/>
        </w:rPr>
      </w:pPr>
    </w:p>
    <w:p w14:paraId="02B30916" w14:textId="77777777" w:rsidR="00DE66E8" w:rsidRPr="001B6C68" w:rsidRDefault="00DE66E8" w:rsidP="001B6C68">
      <w:pPr>
        <w:spacing w:before="0" w:after="0"/>
        <w:rPr>
          <w:rFonts w:ascii="Arial Narrow" w:hAnsi="Arial Narrow"/>
          <w:sz w:val="21"/>
          <w:szCs w:val="21"/>
          <w:lang w:val="es-CO"/>
        </w:rPr>
      </w:pPr>
      <w:r w:rsidRPr="001B6C68">
        <w:rPr>
          <w:rFonts w:ascii="Arial Narrow" w:hAnsi="Arial Narrow"/>
          <w:sz w:val="21"/>
          <w:szCs w:val="21"/>
          <w:lang w:val="es-CO"/>
        </w:rPr>
        <w:t>c) Ingeniería de detalle: 20% de avance en los diseños.</w:t>
      </w:r>
    </w:p>
    <w:p w14:paraId="7330CEE8" w14:textId="77777777" w:rsidR="00DE66E8" w:rsidRPr="001B6C68" w:rsidRDefault="00DE66E8" w:rsidP="001B6C68">
      <w:pPr>
        <w:spacing w:before="0" w:after="0"/>
        <w:rPr>
          <w:rFonts w:ascii="Arial Narrow" w:hAnsi="Arial Narrow"/>
          <w:sz w:val="21"/>
          <w:szCs w:val="21"/>
          <w:lang w:val="es-CO"/>
        </w:rPr>
      </w:pPr>
    </w:p>
    <w:p w14:paraId="465E234A" w14:textId="6F5CF3E2" w:rsidR="00DE66E8" w:rsidRPr="001B6C68" w:rsidRDefault="00DE66E8" w:rsidP="001B6C68">
      <w:pPr>
        <w:spacing w:before="0" w:after="0"/>
        <w:rPr>
          <w:rFonts w:ascii="Arial Narrow" w:hAnsi="Arial Narrow"/>
          <w:sz w:val="21"/>
          <w:szCs w:val="21"/>
          <w:lang w:val="es-CO"/>
        </w:rPr>
      </w:pPr>
      <w:r w:rsidRPr="001B6C68">
        <w:rPr>
          <w:rFonts w:ascii="Arial Narrow" w:hAnsi="Arial Narrow"/>
          <w:sz w:val="21"/>
          <w:szCs w:val="21"/>
          <w:lang w:val="es-CO"/>
        </w:rPr>
        <w:t>d) Certificación de sistemas de protección para trabajo en altura: Actividad ejecutada por ENEL Ya se tienen los informes emitidos por el contratista, en el momento en revisión del área de HSEQ de Enel.</w:t>
      </w:r>
    </w:p>
    <w:p w14:paraId="4A4FEBB5" w14:textId="77777777" w:rsidR="00DE66E8" w:rsidRPr="001B6C68" w:rsidRDefault="00DE66E8" w:rsidP="001B6C68">
      <w:pPr>
        <w:spacing w:before="0" w:after="0"/>
        <w:rPr>
          <w:rFonts w:ascii="Arial Narrow" w:hAnsi="Arial Narrow"/>
          <w:sz w:val="21"/>
          <w:szCs w:val="21"/>
          <w:lang w:val="es-CO"/>
        </w:rPr>
      </w:pPr>
    </w:p>
    <w:p w14:paraId="3BD18991" w14:textId="7A3FBAF4" w:rsidR="005D1A2E" w:rsidRPr="001B6C68" w:rsidRDefault="00DE66E8" w:rsidP="001B6C68">
      <w:pPr>
        <w:spacing w:before="0" w:after="0"/>
        <w:rPr>
          <w:rFonts w:ascii="Arial Narrow" w:hAnsi="Arial Narrow"/>
          <w:sz w:val="21"/>
          <w:szCs w:val="21"/>
          <w:lang w:val="es-CO"/>
        </w:rPr>
      </w:pPr>
      <w:r w:rsidRPr="001B6C68">
        <w:rPr>
          <w:rFonts w:ascii="Arial Narrow" w:hAnsi="Arial Narrow"/>
          <w:sz w:val="21"/>
          <w:szCs w:val="21"/>
          <w:lang w:val="es-CO"/>
        </w:rPr>
        <w:t>e) Para el avance del cronograma preliminar del SSFV se reporta un ejecutado del 4%.</w:t>
      </w:r>
    </w:p>
    <w:p w14:paraId="64200973" w14:textId="77777777" w:rsidR="00626F44" w:rsidRPr="001B6C68" w:rsidRDefault="00626F44" w:rsidP="001B6C68">
      <w:pPr>
        <w:spacing w:before="0" w:after="0"/>
        <w:rPr>
          <w:rFonts w:ascii="Arial Narrow" w:hAnsi="Arial Narrow"/>
          <w:sz w:val="21"/>
          <w:szCs w:val="21"/>
          <w:lang w:val="es-CO"/>
        </w:rPr>
      </w:pPr>
    </w:p>
    <w:p w14:paraId="1C60B604" w14:textId="3324FB62" w:rsidR="005D1A2E" w:rsidRPr="001B6C68" w:rsidRDefault="00626F44" w:rsidP="001B6C68">
      <w:pPr>
        <w:spacing w:before="0" w:after="0"/>
        <w:rPr>
          <w:rFonts w:ascii="Arial Narrow" w:hAnsi="Arial Narrow"/>
          <w:sz w:val="21"/>
          <w:szCs w:val="21"/>
        </w:rPr>
      </w:pPr>
      <w:r w:rsidRPr="001B6C68">
        <w:rPr>
          <w:rFonts w:ascii="Arial Narrow" w:hAnsi="Arial Narrow"/>
          <w:sz w:val="21"/>
          <w:szCs w:val="21"/>
        </w:rPr>
        <w:t>f) Actividades en gestión: Al cierre del mes de marzo se encuentra pendiente por parte del IDRD la entrega de la Carta de Autorización para trámites ante el operador.</w:t>
      </w:r>
    </w:p>
    <w:p w14:paraId="798DC113" w14:textId="77777777" w:rsidR="000176E3" w:rsidRPr="001B6C68" w:rsidRDefault="000176E3" w:rsidP="001B6C68">
      <w:pPr>
        <w:spacing w:before="0" w:after="0"/>
        <w:rPr>
          <w:rFonts w:ascii="Arial Narrow" w:hAnsi="Arial Narrow"/>
          <w:sz w:val="21"/>
          <w:szCs w:val="21"/>
        </w:rPr>
      </w:pPr>
    </w:p>
    <w:p w14:paraId="641195AF" w14:textId="1C29C211" w:rsidR="00626F44" w:rsidRPr="001B6C68" w:rsidRDefault="000176E3" w:rsidP="001B6C68">
      <w:pPr>
        <w:spacing w:before="0" w:after="0"/>
        <w:rPr>
          <w:rFonts w:ascii="Arial Narrow" w:hAnsi="Arial Narrow"/>
          <w:sz w:val="21"/>
          <w:szCs w:val="21"/>
        </w:rPr>
      </w:pPr>
      <w:r w:rsidRPr="001B6C68">
        <w:rPr>
          <w:rFonts w:ascii="Arial Narrow" w:hAnsi="Arial Narrow"/>
          <w:sz w:val="21"/>
          <w:szCs w:val="21"/>
        </w:rPr>
        <w:t>g) Componente iluminación cancha: El IDRD se encuentra detallando los diseños para la iluminación de una de las canchas del CEFE. A la fecha de corte del presente informe no se ha recibido la información final para cierre de los documentos requeridos para inicio del proceso de contratación de la solución.</w:t>
      </w:r>
    </w:p>
    <w:p w14:paraId="3A615766" w14:textId="77777777" w:rsidR="005D1A2E" w:rsidRPr="001B6C68" w:rsidRDefault="005D1A2E" w:rsidP="77D38289">
      <w:pPr>
        <w:spacing w:before="0" w:after="0" w:line="240" w:lineRule="auto"/>
        <w:rPr>
          <w:rFonts w:ascii="Arial Narrow" w:hAnsi="Arial Narrow"/>
          <w:sz w:val="21"/>
          <w:szCs w:val="21"/>
        </w:rPr>
      </w:pPr>
    </w:p>
    <w:p w14:paraId="0FE48D9C" w14:textId="0906C02D" w:rsidR="00130B83" w:rsidRPr="001B6C68" w:rsidRDefault="00130B83" w:rsidP="77D38289">
      <w:pPr>
        <w:spacing w:after="60"/>
        <w:jc w:val="left"/>
        <w:rPr>
          <w:rFonts w:ascii="Arial Narrow" w:hAnsi="Arial Narrow"/>
          <w:b/>
          <w:bCs/>
          <w:color w:val="000000" w:themeColor="text1"/>
          <w:sz w:val="21"/>
          <w:szCs w:val="21"/>
        </w:rPr>
      </w:pPr>
      <w:r w:rsidRPr="001B6C68">
        <w:rPr>
          <w:rFonts w:ascii="Arial Narrow" w:hAnsi="Arial Narrow"/>
          <w:b/>
          <w:bCs/>
          <w:color w:val="000000" w:themeColor="text1"/>
          <w:sz w:val="21"/>
          <w:szCs w:val="21"/>
          <w:lang w:val="es-CO"/>
        </w:rPr>
        <w:t>Actividades ejecutadas en marzo — CEFE Tunal</w:t>
      </w:r>
      <w:r w:rsidRPr="001B6C68">
        <w:rPr>
          <w:rFonts w:ascii="Arial Narrow" w:hAnsi="Arial Narrow"/>
          <w:b/>
          <w:bCs/>
          <w:color w:val="000000" w:themeColor="text1"/>
          <w:sz w:val="21"/>
          <w:szCs w:val="21"/>
        </w:rPr>
        <w:t xml:space="preserve">: </w:t>
      </w:r>
    </w:p>
    <w:p w14:paraId="0E312EFE" w14:textId="60194B65" w:rsidR="00130B83" w:rsidRPr="001B6C68" w:rsidRDefault="007C4966" w:rsidP="001B6C68">
      <w:pPr>
        <w:spacing w:before="0" w:after="0"/>
        <w:rPr>
          <w:rFonts w:ascii="Arial Narrow" w:hAnsi="Arial Narrow"/>
          <w:color w:val="000000" w:themeColor="text1"/>
          <w:sz w:val="21"/>
          <w:szCs w:val="21"/>
        </w:rPr>
      </w:pPr>
      <w:r w:rsidRPr="001B6C68">
        <w:rPr>
          <w:rFonts w:ascii="Arial Narrow" w:hAnsi="Arial Narrow"/>
          <w:color w:val="000000" w:themeColor="text1"/>
          <w:sz w:val="21"/>
          <w:szCs w:val="21"/>
        </w:rPr>
        <w:t>a) Actividades de campamento: Instalación del campamento para almacenamiento de equipos y suministros durante la obra. El inicio de traslado de equipos se estima</w:t>
      </w:r>
      <w:r w:rsidR="00824E72" w:rsidRPr="001B6C68">
        <w:rPr>
          <w:rFonts w:ascii="Arial Narrow" w:hAnsi="Arial Narrow"/>
          <w:color w:val="000000" w:themeColor="text1"/>
          <w:sz w:val="21"/>
          <w:szCs w:val="21"/>
        </w:rPr>
        <w:t xml:space="preserve"> </w:t>
      </w:r>
      <w:r w:rsidRPr="001B6C68">
        <w:rPr>
          <w:rFonts w:ascii="Arial Narrow" w:hAnsi="Arial Narrow"/>
          <w:color w:val="000000" w:themeColor="text1"/>
          <w:sz w:val="21"/>
          <w:szCs w:val="21"/>
        </w:rPr>
        <w:t>para el mes de abril 2026.</w:t>
      </w:r>
    </w:p>
    <w:p w14:paraId="6EA9EBF3" w14:textId="77777777" w:rsidR="00B60C86" w:rsidRPr="001B6C68" w:rsidRDefault="00B60C86" w:rsidP="001B6C68">
      <w:pPr>
        <w:spacing w:before="0" w:after="0"/>
        <w:rPr>
          <w:rFonts w:ascii="Arial Narrow" w:hAnsi="Arial Narrow"/>
          <w:color w:val="000000" w:themeColor="text1"/>
          <w:sz w:val="21"/>
          <w:szCs w:val="21"/>
        </w:rPr>
      </w:pPr>
    </w:p>
    <w:p w14:paraId="120B569A" w14:textId="3A46C8A3" w:rsidR="000A1545" w:rsidRPr="001B6C68" w:rsidRDefault="000A1545" w:rsidP="001B6C68">
      <w:pPr>
        <w:spacing w:before="0" w:after="0"/>
        <w:rPr>
          <w:rFonts w:ascii="Arial Narrow" w:hAnsi="Arial Narrow"/>
          <w:color w:val="000000" w:themeColor="text1"/>
          <w:sz w:val="21"/>
          <w:szCs w:val="21"/>
          <w:lang w:val="es-CO"/>
        </w:rPr>
      </w:pPr>
      <w:r w:rsidRPr="001B6C68">
        <w:rPr>
          <w:rFonts w:ascii="Arial Narrow" w:hAnsi="Arial Narrow"/>
          <w:color w:val="000000" w:themeColor="text1"/>
          <w:sz w:val="21"/>
          <w:szCs w:val="21"/>
          <w:lang w:val="es-CO"/>
        </w:rPr>
        <w:t>b) Aprobación ruta de baja tensión: El 10 de marzo de 2026 se emitió por parte del</w:t>
      </w:r>
      <w:r w:rsidR="00B60C86" w:rsidRPr="001B6C68">
        <w:rPr>
          <w:rFonts w:ascii="Arial Narrow" w:hAnsi="Arial Narrow"/>
          <w:color w:val="000000" w:themeColor="text1"/>
          <w:sz w:val="21"/>
          <w:szCs w:val="21"/>
          <w:lang w:val="es-CO"/>
        </w:rPr>
        <w:t xml:space="preserve"> </w:t>
      </w:r>
      <w:r w:rsidRPr="001B6C68">
        <w:rPr>
          <w:rFonts w:ascii="Arial Narrow" w:hAnsi="Arial Narrow"/>
          <w:color w:val="000000" w:themeColor="text1"/>
          <w:sz w:val="21"/>
          <w:szCs w:val="21"/>
          <w:lang w:val="es-CO"/>
        </w:rPr>
        <w:t>IDRD la aprobación de la ruta de baja tensión, insumo necesario para adelantar</w:t>
      </w:r>
      <w:r w:rsidR="00B60C86" w:rsidRPr="001B6C68">
        <w:rPr>
          <w:rFonts w:ascii="Arial Narrow" w:hAnsi="Arial Narrow"/>
          <w:color w:val="000000" w:themeColor="text1"/>
          <w:sz w:val="21"/>
          <w:szCs w:val="21"/>
          <w:lang w:val="es-CO"/>
        </w:rPr>
        <w:t xml:space="preserve"> </w:t>
      </w:r>
      <w:r w:rsidRPr="001B6C68">
        <w:rPr>
          <w:rFonts w:ascii="Arial Narrow" w:hAnsi="Arial Narrow"/>
          <w:color w:val="000000" w:themeColor="text1"/>
          <w:sz w:val="21"/>
          <w:szCs w:val="21"/>
          <w:lang w:val="es-CO"/>
        </w:rPr>
        <w:t>los ajustes y</w:t>
      </w:r>
      <w:r w:rsidR="00B60C86" w:rsidRPr="001B6C68">
        <w:rPr>
          <w:rFonts w:ascii="Arial Narrow" w:hAnsi="Arial Narrow"/>
          <w:color w:val="000000" w:themeColor="text1"/>
          <w:sz w:val="21"/>
          <w:szCs w:val="21"/>
          <w:lang w:val="es-CO"/>
        </w:rPr>
        <w:t xml:space="preserve"> </w:t>
      </w:r>
      <w:r w:rsidRPr="001B6C68">
        <w:rPr>
          <w:rFonts w:ascii="Arial Narrow" w:hAnsi="Arial Narrow"/>
          <w:color w:val="000000" w:themeColor="text1"/>
          <w:sz w:val="21"/>
          <w:szCs w:val="21"/>
          <w:lang w:val="es-CO"/>
        </w:rPr>
        <w:t>complementos a la ingeniería de detalle.</w:t>
      </w:r>
    </w:p>
    <w:p w14:paraId="6FECF1C9" w14:textId="77777777" w:rsidR="00B60C86" w:rsidRPr="001B6C68" w:rsidRDefault="00B60C86" w:rsidP="001B6C68">
      <w:pPr>
        <w:spacing w:before="0" w:after="0"/>
        <w:rPr>
          <w:rFonts w:ascii="Arial Narrow" w:hAnsi="Arial Narrow"/>
          <w:color w:val="000000" w:themeColor="text1"/>
          <w:sz w:val="21"/>
          <w:szCs w:val="21"/>
          <w:lang w:val="es-CO"/>
        </w:rPr>
      </w:pPr>
    </w:p>
    <w:p w14:paraId="580610E2" w14:textId="77777777" w:rsidR="000A1545" w:rsidRPr="001B6C68" w:rsidRDefault="000A1545" w:rsidP="001B6C68">
      <w:pPr>
        <w:spacing w:before="0" w:after="0"/>
        <w:rPr>
          <w:rFonts w:ascii="Arial Narrow" w:hAnsi="Arial Narrow"/>
          <w:color w:val="000000" w:themeColor="text1"/>
          <w:sz w:val="21"/>
          <w:szCs w:val="21"/>
          <w:lang w:val="es-CO"/>
        </w:rPr>
      </w:pPr>
      <w:r w:rsidRPr="001B6C68">
        <w:rPr>
          <w:rFonts w:ascii="Arial Narrow" w:hAnsi="Arial Narrow"/>
          <w:color w:val="000000" w:themeColor="text1"/>
          <w:sz w:val="21"/>
          <w:szCs w:val="21"/>
          <w:lang w:val="es-CO"/>
        </w:rPr>
        <w:t>c) Ingeniería de detalle: 60% de avance en los diseños.</w:t>
      </w:r>
    </w:p>
    <w:p w14:paraId="7E69B736" w14:textId="77777777" w:rsidR="00B60C86" w:rsidRPr="001B6C68" w:rsidRDefault="00B60C86" w:rsidP="001B6C68">
      <w:pPr>
        <w:spacing w:before="0" w:after="0"/>
        <w:rPr>
          <w:rFonts w:ascii="Arial Narrow" w:hAnsi="Arial Narrow"/>
          <w:color w:val="000000" w:themeColor="text1"/>
          <w:sz w:val="21"/>
          <w:szCs w:val="21"/>
          <w:lang w:val="es-CO"/>
        </w:rPr>
      </w:pPr>
    </w:p>
    <w:p w14:paraId="6313A724" w14:textId="66E0C184" w:rsidR="000A1545" w:rsidRPr="001B6C68" w:rsidRDefault="000A1545" w:rsidP="001B6C68">
      <w:pPr>
        <w:spacing w:before="0" w:after="0"/>
        <w:rPr>
          <w:rFonts w:ascii="Arial Narrow" w:hAnsi="Arial Narrow"/>
          <w:color w:val="000000" w:themeColor="text1"/>
          <w:sz w:val="21"/>
          <w:szCs w:val="21"/>
          <w:lang w:val="es-CO"/>
        </w:rPr>
      </w:pPr>
      <w:r w:rsidRPr="001B6C68">
        <w:rPr>
          <w:rFonts w:ascii="Arial Narrow" w:hAnsi="Arial Narrow"/>
          <w:color w:val="000000" w:themeColor="text1"/>
          <w:sz w:val="21"/>
          <w:szCs w:val="21"/>
          <w:lang w:val="es-CO"/>
        </w:rPr>
        <w:t>d) Certificación de sistemas de protección para trabajo en altura: Actividad ejecutada</w:t>
      </w:r>
      <w:r w:rsidR="00B60C86" w:rsidRPr="001B6C68">
        <w:rPr>
          <w:rFonts w:ascii="Arial Narrow" w:hAnsi="Arial Narrow"/>
          <w:color w:val="000000" w:themeColor="text1"/>
          <w:sz w:val="21"/>
          <w:szCs w:val="21"/>
          <w:lang w:val="es-CO"/>
        </w:rPr>
        <w:t xml:space="preserve"> </w:t>
      </w:r>
      <w:r w:rsidRPr="001B6C68">
        <w:rPr>
          <w:rFonts w:ascii="Arial Narrow" w:hAnsi="Arial Narrow"/>
          <w:color w:val="000000" w:themeColor="text1"/>
          <w:sz w:val="21"/>
          <w:szCs w:val="21"/>
          <w:lang w:val="es-CO"/>
        </w:rPr>
        <w:t>por ENEL. Para la fecha de corte del presente informe el contratista desarrolló las</w:t>
      </w:r>
      <w:r w:rsidR="00B60C86" w:rsidRPr="001B6C68">
        <w:rPr>
          <w:rFonts w:ascii="Arial Narrow" w:hAnsi="Arial Narrow"/>
          <w:color w:val="000000" w:themeColor="text1"/>
          <w:sz w:val="21"/>
          <w:szCs w:val="21"/>
          <w:lang w:val="es-CO"/>
        </w:rPr>
        <w:t xml:space="preserve"> </w:t>
      </w:r>
      <w:r w:rsidRPr="001B6C68">
        <w:rPr>
          <w:rFonts w:ascii="Arial Narrow" w:hAnsi="Arial Narrow"/>
          <w:color w:val="000000" w:themeColor="text1"/>
          <w:sz w:val="21"/>
          <w:szCs w:val="21"/>
          <w:lang w:val="es-CO"/>
        </w:rPr>
        <w:t>visitas de verificación. Los informes emitidos por el contratista se encuentran en</w:t>
      </w:r>
      <w:r w:rsidR="00B60C86" w:rsidRPr="001B6C68">
        <w:rPr>
          <w:rFonts w:ascii="Arial Narrow" w:hAnsi="Arial Narrow"/>
          <w:color w:val="000000" w:themeColor="text1"/>
          <w:sz w:val="21"/>
          <w:szCs w:val="21"/>
          <w:lang w:val="es-CO"/>
        </w:rPr>
        <w:t xml:space="preserve"> </w:t>
      </w:r>
      <w:r w:rsidRPr="001B6C68">
        <w:rPr>
          <w:rFonts w:ascii="Arial Narrow" w:hAnsi="Arial Narrow"/>
          <w:color w:val="000000" w:themeColor="text1"/>
          <w:sz w:val="21"/>
          <w:szCs w:val="21"/>
          <w:lang w:val="es-CO"/>
        </w:rPr>
        <w:t>revisión del área de HSEQ de Enel.</w:t>
      </w:r>
    </w:p>
    <w:p w14:paraId="0F3AD2F2" w14:textId="77777777" w:rsidR="00841F6D" w:rsidRPr="001B6C68" w:rsidRDefault="00841F6D" w:rsidP="001B6C68">
      <w:pPr>
        <w:spacing w:before="0" w:after="0"/>
        <w:rPr>
          <w:rFonts w:ascii="Arial Narrow" w:hAnsi="Arial Narrow"/>
          <w:color w:val="000000" w:themeColor="text1"/>
          <w:sz w:val="21"/>
          <w:szCs w:val="21"/>
          <w:lang w:val="es-CO"/>
        </w:rPr>
      </w:pPr>
    </w:p>
    <w:p w14:paraId="2C593F43" w14:textId="1D1D12A4" w:rsidR="000A1545" w:rsidRPr="001B6C68" w:rsidRDefault="000A1545" w:rsidP="001B6C68">
      <w:pPr>
        <w:spacing w:before="0" w:after="0"/>
        <w:rPr>
          <w:rFonts w:ascii="Arial Narrow" w:hAnsi="Arial Narrow"/>
          <w:color w:val="000000" w:themeColor="text1"/>
          <w:sz w:val="21"/>
          <w:szCs w:val="21"/>
          <w:lang w:val="es-CO"/>
        </w:rPr>
      </w:pPr>
      <w:r w:rsidRPr="001B6C68">
        <w:rPr>
          <w:rFonts w:ascii="Arial Narrow" w:hAnsi="Arial Narrow"/>
          <w:color w:val="000000" w:themeColor="text1"/>
          <w:sz w:val="21"/>
          <w:szCs w:val="21"/>
          <w:lang w:val="es-CO"/>
        </w:rPr>
        <w:t>e) Para el avance del cronograma preliminar del SSFV se reporta un ejecutado del</w:t>
      </w:r>
      <w:r w:rsidR="00B60C86" w:rsidRPr="001B6C68">
        <w:rPr>
          <w:rFonts w:ascii="Arial Narrow" w:hAnsi="Arial Narrow"/>
          <w:color w:val="000000" w:themeColor="text1"/>
          <w:sz w:val="21"/>
          <w:szCs w:val="21"/>
          <w:lang w:val="es-CO"/>
        </w:rPr>
        <w:t xml:space="preserve"> </w:t>
      </w:r>
      <w:r w:rsidRPr="001B6C68">
        <w:rPr>
          <w:rFonts w:ascii="Arial Narrow" w:hAnsi="Arial Narrow"/>
          <w:color w:val="000000" w:themeColor="text1"/>
          <w:sz w:val="21"/>
          <w:szCs w:val="21"/>
          <w:lang w:val="es-CO"/>
        </w:rPr>
        <w:t>14%.</w:t>
      </w:r>
    </w:p>
    <w:p w14:paraId="5024925F" w14:textId="77777777" w:rsidR="00841F6D" w:rsidRPr="001B6C68" w:rsidRDefault="00841F6D" w:rsidP="001B6C68">
      <w:pPr>
        <w:spacing w:before="0" w:after="0"/>
        <w:rPr>
          <w:rFonts w:ascii="Arial Narrow" w:hAnsi="Arial Narrow"/>
          <w:color w:val="000000" w:themeColor="text1"/>
          <w:sz w:val="21"/>
          <w:szCs w:val="21"/>
          <w:lang w:val="es-CO"/>
        </w:rPr>
      </w:pPr>
    </w:p>
    <w:p w14:paraId="29904C85" w14:textId="54520ED5" w:rsidR="00B93719" w:rsidRPr="001B6C68" w:rsidRDefault="00B93719" w:rsidP="001B6C68">
      <w:pPr>
        <w:spacing w:before="0" w:after="0"/>
        <w:rPr>
          <w:rFonts w:ascii="Arial Narrow" w:hAnsi="Arial Narrow"/>
          <w:color w:val="000000" w:themeColor="text1"/>
          <w:sz w:val="21"/>
          <w:szCs w:val="21"/>
          <w:lang w:val="es-CO"/>
        </w:rPr>
      </w:pPr>
      <w:r w:rsidRPr="001B6C68">
        <w:rPr>
          <w:rFonts w:ascii="Arial Narrow" w:hAnsi="Arial Narrow"/>
          <w:color w:val="000000" w:themeColor="text1"/>
          <w:sz w:val="21"/>
          <w:szCs w:val="21"/>
          <w:lang w:val="es-CO"/>
        </w:rPr>
        <w:t>f) Actividades en gestión: Al cierre del mes de marzo se encuentra pendiente por</w:t>
      </w:r>
      <w:r w:rsidR="00841F6D" w:rsidRPr="001B6C68">
        <w:rPr>
          <w:rFonts w:ascii="Arial Narrow" w:hAnsi="Arial Narrow"/>
          <w:color w:val="000000" w:themeColor="text1"/>
          <w:sz w:val="21"/>
          <w:szCs w:val="21"/>
          <w:lang w:val="es-CO"/>
        </w:rPr>
        <w:t xml:space="preserve"> </w:t>
      </w:r>
      <w:r w:rsidRPr="001B6C68">
        <w:rPr>
          <w:rFonts w:ascii="Arial Narrow" w:hAnsi="Arial Narrow"/>
          <w:color w:val="000000" w:themeColor="text1"/>
          <w:sz w:val="21"/>
          <w:szCs w:val="21"/>
          <w:lang w:val="es-CO"/>
        </w:rPr>
        <w:t>parte del IDRD la entrega de la Carta de Autorización para trámites ante el</w:t>
      </w:r>
      <w:r w:rsidR="00841F6D" w:rsidRPr="001B6C68">
        <w:rPr>
          <w:rFonts w:ascii="Arial Narrow" w:hAnsi="Arial Narrow"/>
          <w:color w:val="000000" w:themeColor="text1"/>
          <w:sz w:val="21"/>
          <w:szCs w:val="21"/>
          <w:lang w:val="es-CO"/>
        </w:rPr>
        <w:t xml:space="preserve"> </w:t>
      </w:r>
      <w:r w:rsidRPr="001B6C68">
        <w:rPr>
          <w:rFonts w:ascii="Arial Narrow" w:hAnsi="Arial Narrow"/>
          <w:color w:val="000000" w:themeColor="text1"/>
          <w:sz w:val="21"/>
          <w:szCs w:val="21"/>
          <w:lang w:val="es-CO"/>
        </w:rPr>
        <w:t>operador.</w:t>
      </w:r>
    </w:p>
    <w:p w14:paraId="5459C6FF" w14:textId="77777777" w:rsidR="00841F6D" w:rsidRPr="001B6C68" w:rsidRDefault="00841F6D" w:rsidP="001B6C68">
      <w:pPr>
        <w:spacing w:before="0" w:after="0"/>
        <w:rPr>
          <w:rFonts w:ascii="Arial Narrow" w:hAnsi="Arial Narrow"/>
          <w:color w:val="000000" w:themeColor="text1"/>
          <w:sz w:val="21"/>
          <w:szCs w:val="21"/>
          <w:lang w:val="es-CO"/>
        </w:rPr>
      </w:pPr>
    </w:p>
    <w:p w14:paraId="72D68CF4" w14:textId="58549085" w:rsidR="00B93719" w:rsidRPr="001B6C68" w:rsidRDefault="00B93719" w:rsidP="001B6C68">
      <w:pPr>
        <w:spacing w:before="0" w:after="0"/>
        <w:rPr>
          <w:rFonts w:ascii="Arial Narrow" w:hAnsi="Arial Narrow"/>
          <w:color w:val="000000" w:themeColor="text1"/>
          <w:sz w:val="21"/>
          <w:szCs w:val="21"/>
          <w:lang w:val="es-CO"/>
        </w:rPr>
      </w:pPr>
      <w:r w:rsidRPr="001B6C68">
        <w:rPr>
          <w:rFonts w:ascii="Arial Narrow" w:hAnsi="Arial Narrow"/>
          <w:color w:val="000000" w:themeColor="text1"/>
          <w:sz w:val="21"/>
          <w:szCs w:val="21"/>
          <w:lang w:val="es-CO"/>
        </w:rPr>
        <w:t>g) Componente de Internet: El IDRD se encuentra detallando los diseños para el</w:t>
      </w:r>
      <w:r w:rsidR="00841F6D" w:rsidRPr="001B6C68">
        <w:rPr>
          <w:rFonts w:ascii="Arial Narrow" w:hAnsi="Arial Narrow"/>
          <w:color w:val="000000" w:themeColor="text1"/>
          <w:sz w:val="21"/>
          <w:szCs w:val="21"/>
          <w:lang w:val="es-CO"/>
        </w:rPr>
        <w:t xml:space="preserve"> </w:t>
      </w:r>
      <w:r w:rsidRPr="001B6C68">
        <w:rPr>
          <w:rFonts w:ascii="Arial Narrow" w:hAnsi="Arial Narrow"/>
          <w:color w:val="000000" w:themeColor="text1"/>
          <w:sz w:val="21"/>
          <w:szCs w:val="21"/>
          <w:lang w:val="es-CO"/>
        </w:rPr>
        <w:t xml:space="preserve">sistema de internet teniendo en cuenta que dicha entidad requiere de </w:t>
      </w:r>
      <w:r w:rsidR="00841F6D" w:rsidRPr="001B6C68">
        <w:rPr>
          <w:rFonts w:ascii="Arial Narrow" w:hAnsi="Arial Narrow"/>
          <w:color w:val="000000" w:themeColor="text1"/>
          <w:sz w:val="21"/>
          <w:szCs w:val="21"/>
          <w:lang w:val="es-CO"/>
        </w:rPr>
        <w:t>la interacción</w:t>
      </w:r>
      <w:r w:rsidRPr="001B6C68">
        <w:rPr>
          <w:rFonts w:ascii="Arial Narrow" w:hAnsi="Arial Narrow"/>
          <w:color w:val="000000" w:themeColor="text1"/>
          <w:sz w:val="21"/>
          <w:szCs w:val="21"/>
          <w:lang w:val="es-CO"/>
        </w:rPr>
        <w:t xml:space="preserve"> con un proyecto en desarrollo con ETB en la actualidad. A la fecha de</w:t>
      </w:r>
      <w:r w:rsidR="00841F6D" w:rsidRPr="001B6C68">
        <w:rPr>
          <w:rFonts w:ascii="Arial Narrow" w:hAnsi="Arial Narrow"/>
          <w:color w:val="000000" w:themeColor="text1"/>
          <w:sz w:val="21"/>
          <w:szCs w:val="21"/>
          <w:lang w:val="es-CO"/>
        </w:rPr>
        <w:t xml:space="preserve"> </w:t>
      </w:r>
      <w:r w:rsidRPr="001B6C68">
        <w:rPr>
          <w:rFonts w:ascii="Arial Narrow" w:hAnsi="Arial Narrow"/>
          <w:color w:val="000000" w:themeColor="text1"/>
          <w:sz w:val="21"/>
          <w:szCs w:val="21"/>
          <w:lang w:val="es-CO"/>
        </w:rPr>
        <w:t>corte del presente informe no se ha recibido la información final para cierre de los</w:t>
      </w:r>
      <w:r w:rsidR="00841F6D" w:rsidRPr="001B6C68">
        <w:rPr>
          <w:rFonts w:ascii="Arial Narrow" w:hAnsi="Arial Narrow"/>
          <w:color w:val="000000" w:themeColor="text1"/>
          <w:sz w:val="21"/>
          <w:szCs w:val="21"/>
          <w:lang w:val="es-CO"/>
        </w:rPr>
        <w:t xml:space="preserve"> </w:t>
      </w:r>
      <w:r w:rsidRPr="001B6C68">
        <w:rPr>
          <w:rFonts w:ascii="Arial Narrow" w:hAnsi="Arial Narrow"/>
          <w:color w:val="000000" w:themeColor="text1"/>
          <w:sz w:val="21"/>
          <w:szCs w:val="21"/>
          <w:lang w:val="es-CO"/>
        </w:rPr>
        <w:t>documentos requeridos para inicio del proceso de contratación de la solución.</w:t>
      </w:r>
    </w:p>
    <w:p w14:paraId="5C2A96F9" w14:textId="77777777" w:rsidR="001B6C68" w:rsidRPr="001B6C68" w:rsidRDefault="001B6C68" w:rsidP="001B6C68">
      <w:pPr>
        <w:spacing w:before="0" w:after="0"/>
        <w:jc w:val="left"/>
        <w:rPr>
          <w:rFonts w:ascii="Arial Narrow" w:hAnsi="Arial Narrow"/>
          <w:b/>
          <w:bCs/>
          <w:color w:val="000000" w:themeColor="text1"/>
          <w:sz w:val="21"/>
          <w:szCs w:val="21"/>
          <w:lang w:val="es-CO"/>
        </w:rPr>
      </w:pPr>
    </w:p>
    <w:p w14:paraId="2D16C3A1" w14:textId="43F2FEED" w:rsidR="00542C62" w:rsidRPr="001B6C68" w:rsidRDefault="004B1850" w:rsidP="001B6C68">
      <w:pPr>
        <w:spacing w:before="0" w:after="0"/>
        <w:jc w:val="left"/>
        <w:rPr>
          <w:rFonts w:ascii="Arial Narrow" w:hAnsi="Arial Narrow"/>
          <w:b/>
          <w:bCs/>
          <w:color w:val="000000" w:themeColor="text1"/>
          <w:sz w:val="21"/>
          <w:szCs w:val="21"/>
          <w:lang w:val="es-CO"/>
        </w:rPr>
      </w:pPr>
      <w:r w:rsidRPr="001B6C68">
        <w:rPr>
          <w:rFonts w:ascii="Arial Narrow" w:hAnsi="Arial Narrow"/>
          <w:b/>
          <w:bCs/>
          <w:color w:val="000000" w:themeColor="text1"/>
          <w:sz w:val="21"/>
          <w:szCs w:val="21"/>
          <w:lang w:val="es-CO"/>
        </w:rPr>
        <w:t>Alertas y riesgos reportados — Marzo 2026</w:t>
      </w:r>
    </w:p>
    <w:p w14:paraId="5D5BC257" w14:textId="77777777" w:rsidR="00542C62" w:rsidRPr="001B6C68" w:rsidRDefault="004B1850" w:rsidP="001B6C68">
      <w:pPr>
        <w:spacing w:before="0" w:after="0"/>
        <w:rPr>
          <w:rFonts w:ascii="Arial Narrow" w:hAnsi="Arial Narrow"/>
          <w:color w:val="000000" w:themeColor="text1"/>
          <w:sz w:val="21"/>
          <w:szCs w:val="21"/>
          <w:lang w:val="es-CO"/>
        </w:rPr>
      </w:pPr>
      <w:r w:rsidRPr="001B6C68">
        <w:rPr>
          <w:rFonts w:ascii="Arial Narrow" w:hAnsi="Arial Narrow"/>
          <w:color w:val="000000" w:themeColor="text1"/>
          <w:sz w:val="21"/>
          <w:szCs w:val="21"/>
          <w:lang w:val="es-CO"/>
        </w:rPr>
        <w:lastRenderedPageBreak/>
        <w:t>El informe de marzo identificó tres alertas críticas, todas atribuibles a demoras del IDRD en emitir decisiones requeridas para el avance del proyecto:</w:t>
      </w:r>
    </w:p>
    <w:p w14:paraId="243B6F0E" w14:textId="77777777" w:rsidR="00542C62" w:rsidRPr="001B6C68" w:rsidRDefault="00542C62">
      <w:pPr>
        <w:rPr>
          <w:rFonts w:ascii="Arial Narrow" w:hAnsi="Arial Narrow"/>
          <w:sz w:val="21"/>
          <w:szCs w:val="21"/>
        </w:rPr>
      </w:pPr>
    </w:p>
    <w:tbl>
      <w:tblPr>
        <w:tblW w:w="896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400"/>
        <w:gridCol w:w="4000"/>
        <w:gridCol w:w="4560"/>
      </w:tblGrid>
      <w:tr w:rsidR="00542C62" w:rsidRPr="001B6C68" w14:paraId="444A2A7B" w14:textId="77777777">
        <w:tc>
          <w:tcPr>
            <w:tcW w:w="4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172031B2"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w:t>
            </w:r>
          </w:p>
        </w:tc>
        <w:tc>
          <w:tcPr>
            <w:tcW w:w="40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491F49B0"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Alerta</w:t>
            </w:r>
          </w:p>
        </w:tc>
        <w:tc>
          <w:tcPr>
            <w:tcW w:w="456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505ABE7A"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Descripción / Plan de contingencia</w:t>
            </w:r>
          </w:p>
        </w:tc>
      </w:tr>
      <w:tr w:rsidR="00542C62" w:rsidRPr="001B6C68" w14:paraId="7621AB9B" w14:textId="77777777">
        <w:tc>
          <w:tcPr>
            <w:tcW w:w="4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6C4C9A8E"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i</w:t>
            </w:r>
          </w:p>
        </w:tc>
        <w:tc>
          <w:tcPr>
            <w:tcW w:w="4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51D22CAD"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Demoras IDRD en entrega de información para diseños definitivos</w:t>
            </w:r>
          </w:p>
        </w:tc>
        <w:tc>
          <w:tcPr>
            <w:tcW w:w="45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0708C2B1"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 xml:space="preserve">Pendientes: (i) autorización para trámites ante operador de red — ambos </w:t>
            </w:r>
            <w:proofErr w:type="spellStart"/>
            <w:r w:rsidRPr="001B6C68">
              <w:rPr>
                <w:rFonts w:ascii="Arial Narrow" w:hAnsi="Arial Narrow"/>
                <w:color w:val="000000"/>
                <w:sz w:val="21"/>
                <w:szCs w:val="21"/>
              </w:rPr>
              <w:t>CEFEs</w:t>
            </w:r>
            <w:proofErr w:type="spellEnd"/>
            <w:r w:rsidRPr="001B6C68">
              <w:rPr>
                <w:rFonts w:ascii="Arial Narrow" w:hAnsi="Arial Narrow"/>
                <w:color w:val="000000"/>
                <w:sz w:val="21"/>
                <w:szCs w:val="21"/>
              </w:rPr>
              <w:t>, (</w:t>
            </w:r>
            <w:proofErr w:type="spellStart"/>
            <w:r w:rsidRPr="001B6C68">
              <w:rPr>
                <w:rFonts w:ascii="Arial Narrow" w:hAnsi="Arial Narrow"/>
                <w:color w:val="000000"/>
                <w:sz w:val="21"/>
                <w:szCs w:val="21"/>
              </w:rPr>
              <w:t>ii</w:t>
            </w:r>
            <w:proofErr w:type="spellEnd"/>
            <w:r w:rsidRPr="001B6C68">
              <w:rPr>
                <w:rFonts w:ascii="Arial Narrow" w:hAnsi="Arial Narrow"/>
                <w:color w:val="000000"/>
                <w:sz w:val="21"/>
                <w:szCs w:val="21"/>
              </w:rPr>
              <w:t>) aprobación conexión SE San Cristóbal, (</w:t>
            </w:r>
            <w:proofErr w:type="spellStart"/>
            <w:r w:rsidRPr="001B6C68">
              <w:rPr>
                <w:rFonts w:ascii="Arial Narrow" w:hAnsi="Arial Narrow"/>
                <w:color w:val="000000"/>
                <w:sz w:val="21"/>
                <w:szCs w:val="21"/>
              </w:rPr>
              <w:t>iii</w:t>
            </w:r>
            <w:proofErr w:type="spellEnd"/>
            <w:r w:rsidRPr="001B6C68">
              <w:rPr>
                <w:rFonts w:ascii="Arial Narrow" w:hAnsi="Arial Narrow"/>
                <w:color w:val="000000"/>
                <w:sz w:val="21"/>
                <w:szCs w:val="21"/>
              </w:rPr>
              <w:t>) diseños Internet CEFE Tunal, (</w:t>
            </w:r>
            <w:proofErr w:type="spellStart"/>
            <w:r w:rsidRPr="001B6C68">
              <w:rPr>
                <w:rFonts w:ascii="Arial Narrow" w:hAnsi="Arial Narrow"/>
                <w:color w:val="000000"/>
                <w:sz w:val="21"/>
                <w:szCs w:val="21"/>
              </w:rPr>
              <w:t>iv</w:t>
            </w:r>
            <w:proofErr w:type="spellEnd"/>
            <w:r w:rsidRPr="001B6C68">
              <w:rPr>
                <w:rFonts w:ascii="Arial Narrow" w:hAnsi="Arial Narrow"/>
                <w:color w:val="000000"/>
                <w:sz w:val="21"/>
                <w:szCs w:val="21"/>
              </w:rPr>
              <w:t>) diseños iluminación cancha CEFE San Cristóbal. GEB Enlaza con gestiones reiteradas sin respuesta de cierre.</w:t>
            </w:r>
          </w:p>
        </w:tc>
      </w:tr>
      <w:tr w:rsidR="00542C62" w:rsidRPr="001B6C68" w14:paraId="4157DBD5" w14:textId="77777777">
        <w:tc>
          <w:tcPr>
            <w:tcW w:w="4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04C15911" w14:textId="77777777" w:rsidR="00542C62" w:rsidRPr="001B6C68" w:rsidRDefault="004B1850">
            <w:pPr>
              <w:spacing w:before="40" w:after="40"/>
              <w:jc w:val="left"/>
              <w:rPr>
                <w:rFonts w:ascii="Arial Narrow" w:hAnsi="Arial Narrow"/>
                <w:sz w:val="21"/>
                <w:szCs w:val="21"/>
              </w:rPr>
            </w:pPr>
            <w:proofErr w:type="spellStart"/>
            <w:r w:rsidRPr="001B6C68">
              <w:rPr>
                <w:rFonts w:ascii="Arial Narrow" w:hAnsi="Arial Narrow"/>
                <w:color w:val="000000"/>
                <w:sz w:val="21"/>
                <w:szCs w:val="21"/>
              </w:rPr>
              <w:t>ii</w:t>
            </w:r>
            <w:proofErr w:type="spellEnd"/>
          </w:p>
        </w:tc>
        <w:tc>
          <w:tcPr>
            <w:tcW w:w="40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0882891E"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Demora en aprobaciones internas del IDRD</w:t>
            </w:r>
          </w:p>
        </w:tc>
        <w:tc>
          <w:tcPr>
            <w:tcW w:w="456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12D2F042"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Ruta BT CEFE Tunal: gestionada desde noviembre de 2025, aprobada solo el 10/03/2026. Impacto: desplazamiento de la ingeniería de detalle y retraso en inicio constructivo.</w:t>
            </w:r>
          </w:p>
        </w:tc>
      </w:tr>
      <w:tr w:rsidR="00542C62" w:rsidRPr="001B6C68" w14:paraId="5DA2A4C4" w14:textId="77777777">
        <w:tc>
          <w:tcPr>
            <w:tcW w:w="4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62995BA2" w14:textId="77777777" w:rsidR="00542C62" w:rsidRPr="001B6C68" w:rsidRDefault="004B1850">
            <w:pPr>
              <w:spacing w:before="40" w:after="40"/>
              <w:jc w:val="left"/>
              <w:rPr>
                <w:rFonts w:ascii="Arial Narrow" w:hAnsi="Arial Narrow"/>
                <w:sz w:val="21"/>
                <w:szCs w:val="21"/>
              </w:rPr>
            </w:pPr>
            <w:proofErr w:type="spellStart"/>
            <w:r w:rsidRPr="001B6C68">
              <w:rPr>
                <w:rFonts w:ascii="Arial Narrow" w:hAnsi="Arial Narrow"/>
                <w:color w:val="000000"/>
                <w:sz w:val="21"/>
                <w:szCs w:val="21"/>
              </w:rPr>
              <w:t>iii</w:t>
            </w:r>
            <w:proofErr w:type="spellEnd"/>
          </w:p>
        </w:tc>
        <w:tc>
          <w:tcPr>
            <w:tcW w:w="4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305D4D37"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Riesgo de ampliación de plazo</w:t>
            </w:r>
          </w:p>
        </w:tc>
        <w:tc>
          <w:tcPr>
            <w:tcW w:w="45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0667F806"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Sin cierre de las 4 definiciones críticas antes del 30/04/2026, no era posible completar la ingeniería ni emitir órdenes de construcción. El plazo contractual enfrentaba riesgo real de incumplimiento.</w:t>
            </w:r>
          </w:p>
        </w:tc>
      </w:tr>
    </w:tbl>
    <w:p w14:paraId="4397E1F2" w14:textId="77777777" w:rsidR="00542C62" w:rsidRPr="001B6C68" w:rsidRDefault="00542C62">
      <w:pPr>
        <w:rPr>
          <w:rFonts w:ascii="Arial Narrow" w:hAnsi="Arial Narrow"/>
          <w:sz w:val="21"/>
          <w:szCs w:val="21"/>
        </w:rPr>
      </w:pPr>
    </w:p>
    <w:p w14:paraId="566E3CAB" w14:textId="2A3754EA" w:rsidR="00130B83" w:rsidRPr="003A6CF2" w:rsidRDefault="004B1850" w:rsidP="00130B83">
      <w:pPr>
        <w:spacing w:before="160" w:after="80"/>
        <w:jc w:val="left"/>
        <w:rPr>
          <w:rFonts w:ascii="Arial Narrow" w:hAnsi="Arial Narrow"/>
          <w:color w:val="31849B" w:themeColor="accent5" w:themeShade="BF"/>
          <w:sz w:val="21"/>
          <w:szCs w:val="21"/>
          <w:lang w:val="es-CO"/>
        </w:rPr>
      </w:pPr>
      <w:r w:rsidRPr="003A6CF2">
        <w:rPr>
          <w:rFonts w:ascii="Arial Narrow" w:hAnsi="Arial Narrow"/>
          <w:color w:val="31849B" w:themeColor="accent5" w:themeShade="BF"/>
          <w:sz w:val="21"/>
          <w:szCs w:val="21"/>
          <w:lang w:val="es-CO"/>
        </w:rPr>
        <w:t xml:space="preserve">4.2.3 Informe de seguimiento — </w:t>
      </w:r>
      <w:r w:rsidR="1C9079CA" w:rsidRPr="003A6CF2">
        <w:rPr>
          <w:rFonts w:ascii="Arial Narrow" w:hAnsi="Arial Narrow"/>
          <w:color w:val="31849B" w:themeColor="accent5" w:themeShade="BF"/>
          <w:sz w:val="21"/>
          <w:szCs w:val="21"/>
          <w:lang w:val="es-CO"/>
        </w:rPr>
        <w:t>abril</w:t>
      </w:r>
      <w:r w:rsidRPr="003A6CF2">
        <w:rPr>
          <w:rFonts w:ascii="Arial Narrow" w:hAnsi="Arial Narrow"/>
          <w:color w:val="31849B" w:themeColor="accent5" w:themeShade="BF"/>
          <w:sz w:val="21"/>
          <w:szCs w:val="21"/>
          <w:lang w:val="es-CO"/>
        </w:rPr>
        <w:t xml:space="preserve"> de 2026 (Código: ADM-0002-0)</w:t>
      </w:r>
    </w:p>
    <w:p w14:paraId="4AECD9A1" w14:textId="32E40AA1" w:rsidR="00542C62" w:rsidRPr="003A6CF2" w:rsidRDefault="004B1850" w:rsidP="00130B83">
      <w:pPr>
        <w:spacing w:after="60"/>
        <w:jc w:val="left"/>
        <w:rPr>
          <w:rFonts w:ascii="Arial Narrow" w:hAnsi="Arial Narrow"/>
          <w:color w:val="000000" w:themeColor="text1"/>
          <w:sz w:val="21"/>
          <w:szCs w:val="21"/>
        </w:rPr>
      </w:pPr>
      <w:r w:rsidRPr="003A6CF2">
        <w:rPr>
          <w:rFonts w:ascii="Arial Narrow" w:hAnsi="Arial Narrow"/>
          <w:color w:val="000000" w:themeColor="text1"/>
          <w:sz w:val="21"/>
          <w:szCs w:val="21"/>
          <w:lang w:val="es-CO"/>
        </w:rPr>
        <w:t>Avance físico del proyecto — Corte 30 de abril de 2026</w:t>
      </w:r>
    </w:p>
    <w:tbl>
      <w:tblPr>
        <w:tblW w:w="996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2000"/>
        <w:gridCol w:w="1800"/>
        <w:gridCol w:w="1800"/>
        <w:gridCol w:w="1600"/>
        <w:gridCol w:w="2760"/>
      </w:tblGrid>
      <w:tr w:rsidR="00542C62" w:rsidRPr="001B6C68" w14:paraId="0205D611" w14:textId="77777777">
        <w:tc>
          <w:tcPr>
            <w:tcW w:w="20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7B65C715"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CEFE</w:t>
            </w:r>
          </w:p>
        </w:tc>
        <w:tc>
          <w:tcPr>
            <w:tcW w:w="18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0A93696B"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Avance físico</w:t>
            </w:r>
          </w:p>
        </w:tc>
        <w:tc>
          <w:tcPr>
            <w:tcW w:w="18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543FD9DA"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Proyectado</w:t>
            </w:r>
          </w:p>
        </w:tc>
        <w:tc>
          <w:tcPr>
            <w:tcW w:w="16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309571F0"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Desviación</w:t>
            </w:r>
          </w:p>
        </w:tc>
        <w:tc>
          <w:tcPr>
            <w:tcW w:w="276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7040D3AF"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Estado</w:t>
            </w:r>
          </w:p>
        </w:tc>
      </w:tr>
      <w:tr w:rsidR="00542C62" w:rsidRPr="001B6C68" w14:paraId="345783D8" w14:textId="77777777">
        <w:tc>
          <w:tcPr>
            <w:tcW w:w="20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34F1F676"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CEFE Tunal</w:t>
            </w:r>
          </w:p>
        </w:tc>
        <w:tc>
          <w:tcPr>
            <w:tcW w:w="18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4188CDC2"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000000"/>
                <w:sz w:val="21"/>
                <w:szCs w:val="21"/>
              </w:rPr>
              <w:t>37%</w:t>
            </w:r>
          </w:p>
        </w:tc>
        <w:tc>
          <w:tcPr>
            <w:tcW w:w="18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384A617F"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000000"/>
                <w:sz w:val="21"/>
                <w:szCs w:val="21"/>
              </w:rPr>
              <w:t>35%</w:t>
            </w:r>
          </w:p>
        </w:tc>
        <w:tc>
          <w:tcPr>
            <w:tcW w:w="16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188B0CB2"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1A7A1A"/>
                <w:sz w:val="21"/>
                <w:szCs w:val="21"/>
              </w:rPr>
              <w:t>+2%</w:t>
            </w:r>
          </w:p>
        </w:tc>
        <w:tc>
          <w:tcPr>
            <w:tcW w:w="27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2972CE0D"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1A7A1A"/>
                <w:sz w:val="21"/>
                <w:szCs w:val="21"/>
              </w:rPr>
              <w:t>ADELANTADO</w:t>
            </w:r>
          </w:p>
        </w:tc>
      </w:tr>
      <w:tr w:rsidR="00542C62" w:rsidRPr="001B6C68" w14:paraId="120B28FC" w14:textId="77777777">
        <w:tc>
          <w:tcPr>
            <w:tcW w:w="2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1C69B503"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CEFE San Cristóbal</w:t>
            </w:r>
          </w:p>
        </w:tc>
        <w:tc>
          <w:tcPr>
            <w:tcW w:w="18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1E51E8C4"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000000"/>
                <w:sz w:val="21"/>
                <w:szCs w:val="21"/>
              </w:rPr>
              <w:t>18%</w:t>
            </w:r>
          </w:p>
        </w:tc>
        <w:tc>
          <w:tcPr>
            <w:tcW w:w="18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475B7547"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000000"/>
                <w:sz w:val="21"/>
                <w:szCs w:val="21"/>
              </w:rPr>
              <w:t>29%</w:t>
            </w:r>
          </w:p>
        </w:tc>
        <w:tc>
          <w:tcPr>
            <w:tcW w:w="1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1AAF08FA"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8A1A1A"/>
                <w:sz w:val="21"/>
                <w:szCs w:val="21"/>
              </w:rPr>
              <w:t>-11%</w:t>
            </w:r>
          </w:p>
        </w:tc>
        <w:tc>
          <w:tcPr>
            <w:tcW w:w="2760" w:type="dxa"/>
            <w:tcBorders>
              <w:top w:val="single" w:sz="4" w:space="0" w:color="AAAAAA"/>
              <w:left w:val="single" w:sz="4" w:space="0" w:color="AAAAAA"/>
              <w:bottom w:val="single" w:sz="4" w:space="0" w:color="AAAAAA"/>
              <w:right w:val="single" w:sz="4" w:space="0" w:color="AAAAAA"/>
            </w:tcBorders>
            <w:shd w:val="clear" w:color="auto" w:fill="FFF3CD"/>
            <w:tcMar>
              <w:top w:w="80" w:type="dxa"/>
              <w:left w:w="120" w:type="dxa"/>
              <w:bottom w:w="80" w:type="dxa"/>
              <w:right w:w="120" w:type="dxa"/>
            </w:tcMar>
            <w:vAlign w:val="center"/>
          </w:tcPr>
          <w:p w14:paraId="47F80CAD"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856404"/>
                <w:sz w:val="21"/>
                <w:szCs w:val="21"/>
              </w:rPr>
              <w:t>EN RIESGO</w:t>
            </w:r>
          </w:p>
        </w:tc>
      </w:tr>
    </w:tbl>
    <w:p w14:paraId="0B4486C8" w14:textId="5EF34F44" w:rsidR="00130B83" w:rsidRPr="001B6C68" w:rsidRDefault="00130B83" w:rsidP="00130B83">
      <w:pPr>
        <w:pStyle w:val="p1"/>
        <w:rPr>
          <w:rFonts w:ascii="Arial Narrow" w:hAnsi="Arial Narrow"/>
          <w:color w:val="000000" w:themeColor="text1"/>
          <w:sz w:val="21"/>
          <w:szCs w:val="21"/>
        </w:rPr>
      </w:pPr>
      <w:r w:rsidRPr="001B6C68">
        <w:rPr>
          <w:rFonts w:ascii="Arial Narrow" w:hAnsi="Arial Narrow"/>
          <w:color w:val="000000" w:themeColor="text1"/>
          <w:sz w:val="21"/>
          <w:szCs w:val="21"/>
        </w:rPr>
        <w:t>Tabla tomada del informe ENLAZAGEB-OXI-CONV1248-2025-ADM-0002-0</w:t>
      </w:r>
    </w:p>
    <w:p w14:paraId="526A9606" w14:textId="77777777" w:rsidR="00130B83" w:rsidRPr="001B6C68" w:rsidRDefault="00130B83" w:rsidP="00130B83">
      <w:pPr>
        <w:rPr>
          <w:rFonts w:ascii="Arial Narrow" w:hAnsi="Arial Narrow"/>
          <w:sz w:val="21"/>
          <w:szCs w:val="21"/>
        </w:rPr>
      </w:pPr>
    </w:p>
    <w:p w14:paraId="5E0A58EB" w14:textId="2E892FFB" w:rsidR="00130B83" w:rsidRPr="003A6CF2" w:rsidRDefault="00130B83" w:rsidP="00130B83">
      <w:pPr>
        <w:spacing w:after="60"/>
        <w:jc w:val="left"/>
        <w:rPr>
          <w:rFonts w:ascii="Arial Narrow" w:hAnsi="Arial Narrow"/>
          <w:b/>
          <w:bCs/>
          <w:color w:val="000000" w:themeColor="text1"/>
          <w:sz w:val="21"/>
          <w:szCs w:val="21"/>
        </w:rPr>
      </w:pPr>
      <w:r w:rsidRPr="003A6CF2">
        <w:rPr>
          <w:rFonts w:ascii="Arial Narrow" w:hAnsi="Arial Narrow"/>
          <w:b/>
          <w:bCs/>
          <w:color w:val="000000" w:themeColor="text1"/>
          <w:sz w:val="21"/>
          <w:szCs w:val="21"/>
          <w:lang w:val="es-CO"/>
        </w:rPr>
        <w:t>Actividades ejecutadas en abril — CEFE San Cristóbal</w:t>
      </w:r>
      <w:r w:rsidRPr="003A6CF2">
        <w:rPr>
          <w:rFonts w:ascii="Arial Narrow" w:hAnsi="Arial Narrow"/>
          <w:b/>
          <w:bCs/>
          <w:color w:val="000000" w:themeColor="text1"/>
          <w:sz w:val="21"/>
          <w:szCs w:val="21"/>
        </w:rPr>
        <w:t xml:space="preserve">: </w:t>
      </w:r>
    </w:p>
    <w:p w14:paraId="5C6688EB" w14:textId="77777777" w:rsidR="004C41F6" w:rsidRPr="001B6C68" w:rsidRDefault="004C41F6" w:rsidP="003A6CF2">
      <w:pPr>
        <w:spacing w:before="0" w:after="0"/>
        <w:jc w:val="left"/>
        <w:rPr>
          <w:rFonts w:ascii="Arial Narrow" w:hAnsi="Arial Narrow"/>
          <w:sz w:val="21"/>
          <w:szCs w:val="21"/>
        </w:rPr>
      </w:pPr>
      <w:r w:rsidRPr="001B6C68">
        <w:rPr>
          <w:rFonts w:ascii="Arial Narrow" w:hAnsi="Arial Narrow"/>
          <w:sz w:val="21"/>
          <w:szCs w:val="21"/>
        </w:rPr>
        <w:t>Avance actividades:</w:t>
      </w:r>
    </w:p>
    <w:p w14:paraId="4D8BCA3D" w14:textId="0C9BED11" w:rsidR="004C41F6" w:rsidRPr="001B6C68" w:rsidRDefault="004C41F6" w:rsidP="003A6CF2">
      <w:pPr>
        <w:spacing w:before="0" w:after="0"/>
        <w:rPr>
          <w:rFonts w:ascii="Arial Narrow" w:hAnsi="Arial Narrow"/>
          <w:sz w:val="21"/>
          <w:szCs w:val="21"/>
        </w:rPr>
      </w:pPr>
      <w:r w:rsidRPr="001B6C68">
        <w:rPr>
          <w:rFonts w:ascii="Arial Narrow" w:hAnsi="Arial Narrow"/>
          <w:sz w:val="21"/>
          <w:szCs w:val="21"/>
        </w:rPr>
        <w:lastRenderedPageBreak/>
        <w:t>a) Certificación de sistemas de protección para trabajo en altura: ENEL para la fecha de corte</w:t>
      </w:r>
      <w:r w:rsidR="00FF63A8" w:rsidRPr="001B6C68">
        <w:rPr>
          <w:rFonts w:ascii="Arial Narrow" w:hAnsi="Arial Narrow"/>
          <w:sz w:val="21"/>
          <w:szCs w:val="21"/>
        </w:rPr>
        <w:t xml:space="preserve"> </w:t>
      </w:r>
      <w:r w:rsidRPr="001B6C68">
        <w:rPr>
          <w:rFonts w:ascii="Arial Narrow" w:hAnsi="Arial Narrow"/>
          <w:sz w:val="21"/>
          <w:szCs w:val="21"/>
        </w:rPr>
        <w:t>del presente avance emitió y revisó los informes del contratista que adelanta el trámite de</w:t>
      </w:r>
      <w:r w:rsidR="00FF63A8" w:rsidRPr="001B6C68">
        <w:rPr>
          <w:rFonts w:ascii="Arial Narrow" w:hAnsi="Arial Narrow"/>
          <w:sz w:val="21"/>
          <w:szCs w:val="21"/>
        </w:rPr>
        <w:t xml:space="preserve"> </w:t>
      </w:r>
      <w:r w:rsidRPr="001B6C68">
        <w:rPr>
          <w:rFonts w:ascii="Arial Narrow" w:hAnsi="Arial Narrow"/>
          <w:sz w:val="21"/>
          <w:szCs w:val="21"/>
        </w:rPr>
        <w:t>certificación. En gestión la entrega de los certificados.</w:t>
      </w:r>
    </w:p>
    <w:p w14:paraId="750D7E09" w14:textId="77777777" w:rsidR="00750B03" w:rsidRPr="001B6C68" w:rsidRDefault="00750B03" w:rsidP="003A6CF2">
      <w:pPr>
        <w:spacing w:before="0" w:after="0"/>
        <w:rPr>
          <w:rFonts w:ascii="Arial Narrow" w:hAnsi="Arial Narrow"/>
          <w:sz w:val="21"/>
          <w:szCs w:val="21"/>
        </w:rPr>
      </w:pPr>
    </w:p>
    <w:p w14:paraId="06DA59C9" w14:textId="77777777" w:rsidR="004C41F6" w:rsidRPr="001B6C68" w:rsidRDefault="004C41F6" w:rsidP="003A6CF2">
      <w:pPr>
        <w:spacing w:before="0" w:after="0"/>
        <w:rPr>
          <w:rFonts w:ascii="Arial Narrow" w:hAnsi="Arial Narrow"/>
          <w:sz w:val="21"/>
          <w:szCs w:val="21"/>
        </w:rPr>
      </w:pPr>
      <w:r w:rsidRPr="001B6C68">
        <w:rPr>
          <w:rFonts w:ascii="Arial Narrow" w:hAnsi="Arial Narrow"/>
          <w:sz w:val="21"/>
          <w:szCs w:val="21"/>
        </w:rPr>
        <w:t>b) Ingeniería: Ejecutado 35% - Planeado 63%</w:t>
      </w:r>
    </w:p>
    <w:p w14:paraId="01B31C69" w14:textId="77777777" w:rsidR="004C41F6" w:rsidRPr="001B6C68" w:rsidRDefault="004C41F6" w:rsidP="003A6CF2">
      <w:pPr>
        <w:spacing w:before="0" w:after="0"/>
        <w:ind w:left="284"/>
        <w:rPr>
          <w:rFonts w:ascii="Arial Narrow" w:hAnsi="Arial Narrow"/>
          <w:sz w:val="21"/>
          <w:szCs w:val="21"/>
        </w:rPr>
      </w:pPr>
      <w:r w:rsidRPr="001B6C68">
        <w:rPr>
          <w:rFonts w:ascii="Arial Narrow" w:hAnsi="Arial Narrow"/>
          <w:sz w:val="21"/>
          <w:szCs w:val="21"/>
        </w:rPr>
        <w:t>• Sistema solar fotovoltaico: Los documentos asociados a la ingeniería de detalle</w:t>
      </w:r>
    </w:p>
    <w:p w14:paraId="4F5597F3" w14:textId="77777777" w:rsidR="004C41F6" w:rsidRPr="001B6C68" w:rsidRDefault="004C41F6" w:rsidP="003A6CF2">
      <w:pPr>
        <w:spacing w:before="0" w:after="0"/>
        <w:ind w:left="284"/>
        <w:rPr>
          <w:rFonts w:ascii="Arial Narrow" w:hAnsi="Arial Narrow"/>
          <w:sz w:val="21"/>
          <w:szCs w:val="21"/>
        </w:rPr>
      </w:pPr>
      <w:r w:rsidRPr="001B6C68">
        <w:rPr>
          <w:rFonts w:ascii="Arial Narrow" w:hAnsi="Arial Narrow"/>
          <w:sz w:val="21"/>
          <w:szCs w:val="21"/>
        </w:rPr>
        <w:t>presentan un avance del 47%.</w:t>
      </w:r>
    </w:p>
    <w:p w14:paraId="21B31AC6" w14:textId="77777777" w:rsidR="004C41F6" w:rsidRPr="001B6C68" w:rsidRDefault="004C41F6" w:rsidP="003A6CF2">
      <w:pPr>
        <w:spacing w:before="0" w:after="0"/>
        <w:ind w:left="284"/>
        <w:rPr>
          <w:rFonts w:ascii="Arial Narrow" w:hAnsi="Arial Narrow"/>
          <w:sz w:val="21"/>
          <w:szCs w:val="21"/>
        </w:rPr>
      </w:pPr>
      <w:r w:rsidRPr="001B6C68">
        <w:rPr>
          <w:rFonts w:ascii="Arial Narrow" w:hAnsi="Arial Narrow"/>
          <w:sz w:val="21"/>
          <w:szCs w:val="21"/>
        </w:rPr>
        <w:t>• Media tensión: Los documentos asociados a la ingeniería de detalle se encuentran</w:t>
      </w:r>
    </w:p>
    <w:p w14:paraId="60306832" w14:textId="6F16F212" w:rsidR="60B88D78" w:rsidRPr="001B6C68" w:rsidRDefault="004C41F6" w:rsidP="003A6CF2">
      <w:pPr>
        <w:spacing w:before="0" w:after="0"/>
        <w:ind w:left="284"/>
        <w:rPr>
          <w:rFonts w:ascii="Arial Narrow" w:hAnsi="Arial Narrow"/>
          <w:sz w:val="21"/>
          <w:szCs w:val="21"/>
        </w:rPr>
      </w:pPr>
      <w:r w:rsidRPr="001B6C68">
        <w:rPr>
          <w:rFonts w:ascii="Arial Narrow" w:hAnsi="Arial Narrow"/>
          <w:sz w:val="21"/>
          <w:szCs w:val="21"/>
        </w:rPr>
        <w:t>con un avance del 43%.</w:t>
      </w:r>
    </w:p>
    <w:p w14:paraId="300F052E" w14:textId="77777777" w:rsidR="00952AC5" w:rsidRPr="001B6C68" w:rsidRDefault="00952AC5" w:rsidP="003A6CF2">
      <w:pPr>
        <w:spacing w:before="0" w:after="0"/>
        <w:rPr>
          <w:rFonts w:ascii="Arial Narrow" w:hAnsi="Arial Narrow"/>
          <w:sz w:val="21"/>
          <w:szCs w:val="21"/>
        </w:rPr>
      </w:pPr>
    </w:p>
    <w:p w14:paraId="6EAC85CE" w14:textId="77777777" w:rsidR="00724AF0" w:rsidRPr="001B6C68" w:rsidRDefault="00724AF0" w:rsidP="003A6CF2">
      <w:pPr>
        <w:spacing w:before="0" w:after="0"/>
        <w:jc w:val="left"/>
        <w:rPr>
          <w:rFonts w:ascii="Arial Narrow" w:hAnsi="Arial Narrow"/>
          <w:sz w:val="21"/>
          <w:szCs w:val="21"/>
        </w:rPr>
      </w:pPr>
      <w:r w:rsidRPr="001B6C68">
        <w:rPr>
          <w:rFonts w:ascii="Arial Narrow" w:hAnsi="Arial Narrow"/>
          <w:sz w:val="21"/>
          <w:szCs w:val="21"/>
        </w:rPr>
        <w:t>c) Construcción: Ejecutado 0% - Planeado 0%</w:t>
      </w:r>
    </w:p>
    <w:p w14:paraId="6B961E6E" w14:textId="77777777" w:rsidR="00724AF0" w:rsidRPr="001B6C68" w:rsidRDefault="00724AF0" w:rsidP="003A6CF2">
      <w:pPr>
        <w:spacing w:before="0" w:after="0"/>
        <w:ind w:left="284"/>
        <w:jc w:val="left"/>
        <w:rPr>
          <w:rFonts w:ascii="Arial Narrow" w:hAnsi="Arial Narrow"/>
          <w:sz w:val="21"/>
          <w:szCs w:val="21"/>
        </w:rPr>
      </w:pPr>
      <w:r w:rsidRPr="001B6C68">
        <w:rPr>
          <w:rFonts w:ascii="Arial Narrow" w:hAnsi="Arial Narrow"/>
          <w:sz w:val="21"/>
          <w:szCs w:val="21"/>
        </w:rPr>
        <w:t>General y Sistema solar:</w:t>
      </w:r>
    </w:p>
    <w:p w14:paraId="791A3FB1" w14:textId="77777777" w:rsidR="00724AF0" w:rsidRPr="001B6C68" w:rsidRDefault="00724AF0" w:rsidP="003A6CF2">
      <w:pPr>
        <w:spacing w:before="0" w:after="0"/>
        <w:ind w:left="284"/>
        <w:jc w:val="left"/>
        <w:rPr>
          <w:rFonts w:ascii="Arial Narrow" w:hAnsi="Arial Narrow"/>
          <w:sz w:val="21"/>
          <w:szCs w:val="21"/>
        </w:rPr>
      </w:pPr>
      <w:r w:rsidRPr="001B6C68">
        <w:rPr>
          <w:rFonts w:ascii="Arial Narrow" w:hAnsi="Arial Narrow"/>
          <w:sz w:val="21"/>
          <w:szCs w:val="21"/>
        </w:rPr>
        <w:t>• Campamento San Cristóbal aprobado por IDRD — 10/04/2026</w:t>
      </w:r>
    </w:p>
    <w:p w14:paraId="7F0A727E" w14:textId="77777777" w:rsidR="00724AF0" w:rsidRPr="001B6C68" w:rsidRDefault="00724AF0" w:rsidP="003A6CF2">
      <w:pPr>
        <w:spacing w:before="0" w:after="0"/>
        <w:ind w:left="284"/>
        <w:jc w:val="left"/>
        <w:rPr>
          <w:rFonts w:ascii="Arial Narrow" w:hAnsi="Arial Narrow"/>
          <w:sz w:val="21"/>
          <w:szCs w:val="21"/>
        </w:rPr>
      </w:pPr>
      <w:r w:rsidRPr="001B6C68">
        <w:rPr>
          <w:rFonts w:ascii="Arial Narrow" w:hAnsi="Arial Narrow"/>
          <w:sz w:val="21"/>
          <w:szCs w:val="21"/>
        </w:rPr>
        <w:t>• Se ejecutaron al 100% las actividades de instalación del campamento con</w:t>
      </w:r>
    </w:p>
    <w:p w14:paraId="4ED73C17" w14:textId="77777777" w:rsidR="00724AF0" w:rsidRPr="001B6C68" w:rsidRDefault="00724AF0" w:rsidP="003A6CF2">
      <w:pPr>
        <w:spacing w:before="0" w:after="0"/>
        <w:ind w:left="284"/>
        <w:jc w:val="left"/>
        <w:rPr>
          <w:rFonts w:ascii="Arial Narrow" w:hAnsi="Arial Narrow"/>
          <w:sz w:val="21"/>
          <w:szCs w:val="21"/>
        </w:rPr>
      </w:pPr>
      <w:r w:rsidRPr="001B6C68">
        <w:rPr>
          <w:rFonts w:ascii="Arial Narrow" w:hAnsi="Arial Narrow"/>
          <w:sz w:val="21"/>
          <w:szCs w:val="21"/>
        </w:rPr>
        <w:t>el fin de iniciar traslado de paneles la primera semana de mayo.</w:t>
      </w:r>
    </w:p>
    <w:p w14:paraId="322922FC" w14:textId="77777777" w:rsidR="00724AF0" w:rsidRPr="001B6C68" w:rsidRDefault="00724AF0" w:rsidP="003A6CF2">
      <w:pPr>
        <w:spacing w:before="0" w:after="0"/>
        <w:ind w:left="284"/>
        <w:jc w:val="left"/>
        <w:rPr>
          <w:rFonts w:ascii="Arial Narrow" w:hAnsi="Arial Narrow"/>
          <w:sz w:val="21"/>
          <w:szCs w:val="21"/>
        </w:rPr>
      </w:pPr>
      <w:r w:rsidRPr="001B6C68">
        <w:rPr>
          <w:rFonts w:ascii="Arial Narrow" w:hAnsi="Arial Narrow"/>
          <w:sz w:val="21"/>
          <w:szCs w:val="21"/>
        </w:rPr>
        <w:t>Redes de media tensión:</w:t>
      </w:r>
    </w:p>
    <w:p w14:paraId="6F2FF536" w14:textId="77777777" w:rsidR="00724AF0" w:rsidRPr="001B6C68" w:rsidRDefault="00724AF0" w:rsidP="003A6CF2">
      <w:pPr>
        <w:spacing w:before="0" w:after="0"/>
        <w:ind w:left="284"/>
        <w:jc w:val="left"/>
        <w:rPr>
          <w:rFonts w:ascii="Arial Narrow" w:hAnsi="Arial Narrow"/>
          <w:sz w:val="21"/>
          <w:szCs w:val="21"/>
        </w:rPr>
      </w:pPr>
      <w:r w:rsidRPr="001B6C68">
        <w:rPr>
          <w:rFonts w:ascii="Arial Narrow" w:hAnsi="Arial Narrow"/>
          <w:sz w:val="21"/>
          <w:szCs w:val="21"/>
        </w:rPr>
        <w:t>• Conexión Subestación San Cristóbal autorizada — 10/04/2026</w:t>
      </w:r>
    </w:p>
    <w:p w14:paraId="1DDF0664" w14:textId="77777777" w:rsidR="00724AF0" w:rsidRPr="001B6C68" w:rsidRDefault="00724AF0" w:rsidP="003A6CF2">
      <w:pPr>
        <w:spacing w:before="0" w:after="0"/>
        <w:ind w:left="284"/>
        <w:rPr>
          <w:rFonts w:ascii="Arial Narrow" w:hAnsi="Arial Narrow"/>
          <w:sz w:val="21"/>
          <w:szCs w:val="21"/>
        </w:rPr>
      </w:pPr>
      <w:r w:rsidRPr="001B6C68">
        <w:rPr>
          <w:rFonts w:ascii="Arial Narrow" w:hAnsi="Arial Narrow"/>
          <w:sz w:val="21"/>
          <w:szCs w:val="21"/>
        </w:rPr>
        <w:t>d) Iluminación cancha: Se recibió el 30 de abril la ficha técnica definitiva para el sistema de</w:t>
      </w:r>
    </w:p>
    <w:p w14:paraId="16304335" w14:textId="299C60F0" w:rsidR="00724AF0" w:rsidRPr="001B6C68" w:rsidRDefault="00724AF0" w:rsidP="003A6CF2">
      <w:pPr>
        <w:spacing w:before="0" w:after="0"/>
        <w:ind w:left="284"/>
        <w:rPr>
          <w:rFonts w:ascii="Arial Narrow" w:hAnsi="Arial Narrow"/>
          <w:sz w:val="21"/>
          <w:szCs w:val="21"/>
        </w:rPr>
      </w:pPr>
      <w:r w:rsidRPr="001B6C68">
        <w:rPr>
          <w:rFonts w:ascii="Arial Narrow" w:hAnsi="Arial Narrow"/>
          <w:sz w:val="21"/>
          <w:szCs w:val="21"/>
        </w:rPr>
        <w:t>iluminación de la cancha en el CEFE San Cristóbal. Se inicia en mayo la revisión de la</w:t>
      </w:r>
      <w:r w:rsidR="00750B03" w:rsidRPr="001B6C68">
        <w:rPr>
          <w:rFonts w:ascii="Arial Narrow" w:hAnsi="Arial Narrow"/>
          <w:sz w:val="21"/>
          <w:szCs w:val="21"/>
        </w:rPr>
        <w:t xml:space="preserve"> </w:t>
      </w:r>
      <w:r w:rsidRPr="001B6C68">
        <w:rPr>
          <w:rFonts w:ascii="Arial Narrow" w:hAnsi="Arial Narrow"/>
          <w:sz w:val="21"/>
          <w:szCs w:val="21"/>
        </w:rPr>
        <w:t>información para determinar los ajustes realizados a la versión inicial, la cual fue aprobada</w:t>
      </w:r>
      <w:r w:rsidR="00750B03" w:rsidRPr="001B6C68">
        <w:rPr>
          <w:rFonts w:ascii="Arial Narrow" w:hAnsi="Arial Narrow"/>
          <w:sz w:val="21"/>
          <w:szCs w:val="21"/>
        </w:rPr>
        <w:t xml:space="preserve"> </w:t>
      </w:r>
      <w:r w:rsidRPr="001B6C68">
        <w:rPr>
          <w:rFonts w:ascii="Arial Narrow" w:hAnsi="Arial Narrow"/>
          <w:sz w:val="21"/>
          <w:szCs w:val="21"/>
        </w:rPr>
        <w:t>en la etapa de estructuración del proyecto.</w:t>
      </w:r>
    </w:p>
    <w:p w14:paraId="0EB2D29C" w14:textId="77777777" w:rsidR="00A927D0" w:rsidRPr="001B6C68" w:rsidRDefault="00A927D0" w:rsidP="003A6CF2">
      <w:pPr>
        <w:spacing w:before="0" w:after="0"/>
        <w:rPr>
          <w:rFonts w:ascii="Arial Narrow" w:hAnsi="Arial Narrow"/>
          <w:sz w:val="21"/>
          <w:szCs w:val="21"/>
          <w:highlight w:val="yellow"/>
        </w:rPr>
      </w:pPr>
    </w:p>
    <w:p w14:paraId="4E02090F" w14:textId="081C7C51" w:rsidR="00130B83" w:rsidRPr="003A6CF2" w:rsidRDefault="00130B83" w:rsidP="003A6CF2">
      <w:pPr>
        <w:spacing w:before="0" w:after="0"/>
        <w:jc w:val="left"/>
        <w:rPr>
          <w:rFonts w:ascii="Arial Narrow" w:hAnsi="Arial Narrow"/>
          <w:b/>
          <w:bCs/>
          <w:color w:val="000000" w:themeColor="text1"/>
          <w:sz w:val="21"/>
          <w:szCs w:val="21"/>
        </w:rPr>
      </w:pPr>
      <w:r w:rsidRPr="003A6CF2">
        <w:rPr>
          <w:rFonts w:ascii="Arial Narrow" w:hAnsi="Arial Narrow"/>
          <w:b/>
          <w:bCs/>
          <w:color w:val="000000" w:themeColor="text1"/>
          <w:sz w:val="21"/>
          <w:szCs w:val="21"/>
          <w:lang w:val="es-CO"/>
        </w:rPr>
        <w:t>Actividades ejecutadas en abril— CEFE Tunal</w:t>
      </w:r>
      <w:r w:rsidRPr="003A6CF2">
        <w:rPr>
          <w:rFonts w:ascii="Arial Narrow" w:hAnsi="Arial Narrow"/>
          <w:b/>
          <w:bCs/>
          <w:color w:val="000000" w:themeColor="text1"/>
          <w:sz w:val="21"/>
          <w:szCs w:val="21"/>
        </w:rPr>
        <w:t xml:space="preserve">: </w:t>
      </w:r>
    </w:p>
    <w:p w14:paraId="1B1A0249" w14:textId="77777777" w:rsidR="000414F3" w:rsidRPr="001B6C68" w:rsidRDefault="000414F3" w:rsidP="003A6CF2">
      <w:pPr>
        <w:spacing w:before="0" w:after="0"/>
        <w:rPr>
          <w:rFonts w:ascii="Arial Narrow" w:hAnsi="Arial Narrow"/>
          <w:sz w:val="21"/>
          <w:szCs w:val="21"/>
        </w:rPr>
      </w:pPr>
      <w:r w:rsidRPr="001B6C68">
        <w:rPr>
          <w:rFonts w:ascii="Arial Narrow" w:hAnsi="Arial Narrow"/>
          <w:sz w:val="21"/>
          <w:szCs w:val="21"/>
        </w:rPr>
        <w:t>Avance actividades:</w:t>
      </w:r>
    </w:p>
    <w:p w14:paraId="3FC384E7" w14:textId="77777777" w:rsidR="004C5BC8" w:rsidRPr="001B6C68" w:rsidRDefault="004C5BC8" w:rsidP="003A6CF2">
      <w:pPr>
        <w:spacing w:before="0" w:after="0"/>
        <w:rPr>
          <w:rFonts w:ascii="Arial Narrow" w:hAnsi="Arial Narrow"/>
          <w:sz w:val="21"/>
          <w:szCs w:val="21"/>
        </w:rPr>
      </w:pPr>
    </w:p>
    <w:p w14:paraId="1D48B31F" w14:textId="0C6EE214" w:rsidR="000414F3" w:rsidRPr="001B6C68" w:rsidRDefault="000414F3" w:rsidP="003A6CF2">
      <w:pPr>
        <w:spacing w:before="0" w:after="0"/>
        <w:rPr>
          <w:rFonts w:ascii="Arial Narrow" w:hAnsi="Arial Narrow"/>
          <w:sz w:val="21"/>
          <w:szCs w:val="21"/>
        </w:rPr>
      </w:pPr>
      <w:r w:rsidRPr="001B6C68">
        <w:rPr>
          <w:rFonts w:ascii="Arial Narrow" w:hAnsi="Arial Narrow"/>
          <w:sz w:val="21"/>
          <w:szCs w:val="21"/>
        </w:rPr>
        <w:t>a) Certificación de sistemas de protección para trabajo en altura: ENEL para la fecha de corte del presente avance emitió y revisó los informes del contratista que adelanta el trámite de certificación. En gestión la entrega de los certificados.</w:t>
      </w:r>
    </w:p>
    <w:p w14:paraId="6DAF5023" w14:textId="77777777" w:rsidR="004C5BC8" w:rsidRPr="001B6C68" w:rsidRDefault="004C5BC8" w:rsidP="003A6CF2">
      <w:pPr>
        <w:spacing w:before="0" w:after="0"/>
        <w:rPr>
          <w:rFonts w:ascii="Arial Narrow" w:hAnsi="Arial Narrow"/>
          <w:sz w:val="21"/>
          <w:szCs w:val="21"/>
        </w:rPr>
      </w:pPr>
    </w:p>
    <w:p w14:paraId="5B2B85DD" w14:textId="090C5C72" w:rsidR="00542C62" w:rsidRPr="001B6C68" w:rsidRDefault="000414F3" w:rsidP="003A6CF2">
      <w:pPr>
        <w:spacing w:before="0" w:after="0"/>
        <w:rPr>
          <w:rFonts w:ascii="Arial Narrow" w:hAnsi="Arial Narrow"/>
          <w:sz w:val="21"/>
          <w:szCs w:val="21"/>
        </w:rPr>
      </w:pPr>
      <w:r w:rsidRPr="001B6C68">
        <w:rPr>
          <w:rFonts w:ascii="Arial Narrow" w:hAnsi="Arial Narrow"/>
          <w:sz w:val="21"/>
          <w:szCs w:val="21"/>
        </w:rPr>
        <w:t>b) Ingeniería: Ejecutado 44% - Planeado 63%</w:t>
      </w:r>
    </w:p>
    <w:p w14:paraId="075196C1" w14:textId="77777777" w:rsidR="005D6779" w:rsidRPr="001B6C68" w:rsidRDefault="005D6779" w:rsidP="003A6CF2">
      <w:pPr>
        <w:spacing w:before="0" w:after="0"/>
        <w:rPr>
          <w:rFonts w:ascii="Arial Narrow" w:hAnsi="Arial Narrow"/>
          <w:sz w:val="21"/>
          <w:szCs w:val="21"/>
        </w:rPr>
      </w:pPr>
    </w:p>
    <w:p w14:paraId="554B42AA" w14:textId="3BEA3106" w:rsidR="004C5BC8" w:rsidRPr="001B6C68" w:rsidRDefault="004C5BC8" w:rsidP="003A6CF2">
      <w:pPr>
        <w:spacing w:before="0" w:after="0"/>
        <w:ind w:left="284"/>
        <w:rPr>
          <w:rFonts w:ascii="Arial Narrow" w:hAnsi="Arial Narrow"/>
          <w:sz w:val="21"/>
          <w:szCs w:val="21"/>
        </w:rPr>
      </w:pPr>
      <w:r w:rsidRPr="001B6C68">
        <w:rPr>
          <w:rFonts w:ascii="Arial Narrow" w:hAnsi="Arial Narrow"/>
          <w:sz w:val="21"/>
          <w:szCs w:val="21"/>
        </w:rPr>
        <w:t>• Sistema solar fotovoltaico: Se entrega al IDRD y a la SDHT el 29 de abril la ingeniería de detalle del Sistema Solar Fotovoltaico (SSFV) correspondiente al CEFE Tunal, elaborada por el contratista ENEL Colombia S.A.S. Los documentos entregados están completados al 100% para revisión y aprobación de la Entidad Distrital Competente y la Entidad Distrital Beneficiaria.</w:t>
      </w:r>
    </w:p>
    <w:p w14:paraId="4349589D" w14:textId="77777777" w:rsidR="004C5BC8" w:rsidRPr="001B6C68" w:rsidRDefault="004C5BC8" w:rsidP="003A6CF2">
      <w:pPr>
        <w:spacing w:before="0" w:after="0"/>
        <w:ind w:left="284"/>
        <w:rPr>
          <w:rFonts w:ascii="Arial Narrow" w:hAnsi="Arial Narrow"/>
          <w:sz w:val="21"/>
          <w:szCs w:val="21"/>
        </w:rPr>
      </w:pPr>
      <w:r w:rsidRPr="001B6C68">
        <w:rPr>
          <w:rFonts w:ascii="Arial Narrow" w:hAnsi="Arial Narrow"/>
          <w:sz w:val="21"/>
          <w:szCs w:val="21"/>
        </w:rPr>
        <w:lastRenderedPageBreak/>
        <w:t>• Media tensión: Los documentos asociados a la ingeniería de detalle se encuentran</w:t>
      </w:r>
    </w:p>
    <w:p w14:paraId="6FD9453E" w14:textId="77777777" w:rsidR="004C5BC8" w:rsidRPr="001B6C68" w:rsidRDefault="004C5BC8" w:rsidP="003A6CF2">
      <w:pPr>
        <w:spacing w:before="0" w:after="0"/>
        <w:ind w:left="284"/>
        <w:rPr>
          <w:rFonts w:ascii="Arial Narrow" w:hAnsi="Arial Narrow"/>
          <w:sz w:val="21"/>
          <w:szCs w:val="21"/>
        </w:rPr>
      </w:pPr>
      <w:r w:rsidRPr="001B6C68">
        <w:rPr>
          <w:rFonts w:ascii="Arial Narrow" w:hAnsi="Arial Narrow"/>
          <w:sz w:val="21"/>
          <w:szCs w:val="21"/>
        </w:rPr>
        <w:t>con un avance del 60%.</w:t>
      </w:r>
    </w:p>
    <w:p w14:paraId="0DB1313C" w14:textId="77777777" w:rsidR="004C5BC8" w:rsidRPr="001B6C68" w:rsidRDefault="004C5BC8" w:rsidP="003A6CF2">
      <w:pPr>
        <w:spacing w:before="0" w:after="0"/>
        <w:rPr>
          <w:rFonts w:ascii="Arial Narrow" w:hAnsi="Arial Narrow"/>
          <w:sz w:val="21"/>
          <w:szCs w:val="21"/>
        </w:rPr>
      </w:pPr>
    </w:p>
    <w:p w14:paraId="7D423CED" w14:textId="77777777" w:rsidR="004C5BC8" w:rsidRPr="001B6C68" w:rsidRDefault="004C5BC8" w:rsidP="003A6CF2">
      <w:pPr>
        <w:spacing w:before="0" w:after="0"/>
        <w:rPr>
          <w:rFonts w:ascii="Arial Narrow" w:hAnsi="Arial Narrow"/>
          <w:sz w:val="21"/>
          <w:szCs w:val="21"/>
        </w:rPr>
      </w:pPr>
      <w:r w:rsidRPr="001B6C68">
        <w:rPr>
          <w:rFonts w:ascii="Arial Narrow" w:hAnsi="Arial Narrow"/>
          <w:sz w:val="21"/>
          <w:szCs w:val="21"/>
        </w:rPr>
        <w:t>c) Construcción: Ejecutado 14% - Planeado 12%</w:t>
      </w:r>
    </w:p>
    <w:p w14:paraId="76BCF8A6" w14:textId="77777777" w:rsidR="00A673AC" w:rsidRPr="001B6C68" w:rsidRDefault="00A673AC" w:rsidP="003A6CF2">
      <w:pPr>
        <w:spacing w:before="0" w:after="0"/>
        <w:rPr>
          <w:rFonts w:ascii="Arial Narrow" w:hAnsi="Arial Narrow"/>
          <w:sz w:val="21"/>
          <w:szCs w:val="21"/>
        </w:rPr>
      </w:pPr>
    </w:p>
    <w:p w14:paraId="71285564" w14:textId="77777777" w:rsidR="004C5BC8" w:rsidRPr="001B6C68" w:rsidRDefault="004C5BC8" w:rsidP="003A6CF2">
      <w:pPr>
        <w:spacing w:before="0" w:after="0"/>
        <w:rPr>
          <w:rFonts w:ascii="Arial Narrow" w:hAnsi="Arial Narrow"/>
          <w:sz w:val="21"/>
          <w:szCs w:val="21"/>
        </w:rPr>
      </w:pPr>
      <w:r w:rsidRPr="001B6C68">
        <w:rPr>
          <w:rFonts w:ascii="Arial Narrow" w:hAnsi="Arial Narrow"/>
          <w:sz w:val="21"/>
          <w:szCs w:val="21"/>
        </w:rPr>
        <w:t>General y sistema solar:</w:t>
      </w:r>
    </w:p>
    <w:p w14:paraId="26EE72D8" w14:textId="232824A0" w:rsidR="004C5BC8" w:rsidRPr="001B6C68" w:rsidRDefault="004C5BC8" w:rsidP="003A6CF2">
      <w:pPr>
        <w:spacing w:before="0" w:after="0"/>
        <w:ind w:left="142"/>
        <w:rPr>
          <w:rFonts w:ascii="Arial Narrow" w:hAnsi="Arial Narrow"/>
          <w:sz w:val="21"/>
          <w:szCs w:val="21"/>
        </w:rPr>
      </w:pPr>
      <w:r w:rsidRPr="001B6C68">
        <w:rPr>
          <w:rFonts w:ascii="Arial Narrow" w:hAnsi="Arial Narrow"/>
          <w:sz w:val="21"/>
          <w:szCs w:val="21"/>
        </w:rPr>
        <w:t>• Se ejecutaron al 100% las actividades de instalación del campamento y se trasladó</w:t>
      </w:r>
      <w:r w:rsidR="00354EB5" w:rsidRPr="001B6C68">
        <w:rPr>
          <w:rFonts w:ascii="Arial Narrow" w:hAnsi="Arial Narrow"/>
          <w:sz w:val="21"/>
          <w:szCs w:val="21"/>
        </w:rPr>
        <w:t xml:space="preserve"> </w:t>
      </w:r>
      <w:r w:rsidRPr="001B6C68">
        <w:rPr>
          <w:rFonts w:ascii="Arial Narrow" w:hAnsi="Arial Narrow"/>
          <w:sz w:val="21"/>
          <w:szCs w:val="21"/>
        </w:rPr>
        <w:t>el 100% de los paneles requeridos (1620 unidades).</w:t>
      </w:r>
    </w:p>
    <w:p w14:paraId="24B88CA8" w14:textId="77777777" w:rsidR="004C5BC8" w:rsidRPr="001B6C68" w:rsidRDefault="004C5BC8" w:rsidP="003A6CF2">
      <w:pPr>
        <w:spacing w:before="0" w:after="0"/>
        <w:ind w:left="142"/>
        <w:rPr>
          <w:rFonts w:ascii="Arial Narrow" w:hAnsi="Arial Narrow"/>
          <w:sz w:val="21"/>
          <w:szCs w:val="21"/>
        </w:rPr>
      </w:pPr>
      <w:r w:rsidRPr="001B6C68">
        <w:rPr>
          <w:rFonts w:ascii="Arial Narrow" w:hAnsi="Arial Narrow"/>
          <w:sz w:val="21"/>
          <w:szCs w:val="21"/>
        </w:rPr>
        <w:t xml:space="preserve">• Sistema solar: Aprobación del procedimiento de trabajo en alturas e </w:t>
      </w:r>
      <w:proofErr w:type="spellStart"/>
      <w:r w:rsidRPr="001B6C68">
        <w:rPr>
          <w:rFonts w:ascii="Arial Narrow" w:hAnsi="Arial Narrow"/>
          <w:sz w:val="21"/>
          <w:szCs w:val="21"/>
        </w:rPr>
        <w:t>izaje</w:t>
      </w:r>
      <w:proofErr w:type="spellEnd"/>
      <w:r w:rsidRPr="001B6C68">
        <w:rPr>
          <w:rFonts w:ascii="Arial Narrow" w:hAnsi="Arial Narrow"/>
          <w:sz w:val="21"/>
          <w:szCs w:val="21"/>
        </w:rPr>
        <w:t xml:space="preserve"> de cargas.</w:t>
      </w:r>
    </w:p>
    <w:p w14:paraId="56F8C7BF" w14:textId="77777777" w:rsidR="004C5BC8" w:rsidRPr="001B6C68" w:rsidRDefault="004C5BC8" w:rsidP="003A6CF2">
      <w:pPr>
        <w:spacing w:before="0" w:after="0"/>
        <w:ind w:left="284"/>
        <w:rPr>
          <w:rFonts w:ascii="Arial Narrow" w:hAnsi="Arial Narrow"/>
          <w:sz w:val="21"/>
          <w:szCs w:val="21"/>
        </w:rPr>
      </w:pPr>
      <w:r w:rsidRPr="001B6C68">
        <w:rPr>
          <w:rFonts w:ascii="Arial Narrow" w:hAnsi="Arial Narrow"/>
          <w:sz w:val="21"/>
          <w:szCs w:val="21"/>
        </w:rPr>
        <w:t>Se requiere el inicio de las siguientes actividades según cronograma:</w:t>
      </w:r>
    </w:p>
    <w:p w14:paraId="0E8C948C" w14:textId="519D2488" w:rsidR="004C5BC8" w:rsidRPr="001B6C68" w:rsidRDefault="004C5BC8" w:rsidP="003A6CF2">
      <w:pPr>
        <w:spacing w:before="0" w:after="0"/>
        <w:ind w:left="284"/>
        <w:rPr>
          <w:rFonts w:ascii="Arial Narrow" w:hAnsi="Arial Narrow"/>
          <w:sz w:val="21"/>
          <w:szCs w:val="21"/>
        </w:rPr>
      </w:pPr>
      <w:r w:rsidRPr="001B6C68">
        <w:rPr>
          <w:rFonts w:ascii="Arial Narrow" w:hAnsi="Arial Narrow"/>
          <w:sz w:val="21"/>
          <w:szCs w:val="21"/>
        </w:rPr>
        <w:t>i) Suministro y trasiego a cubierta de estructura de módulos fotovoltaicos. (Inicio</w:t>
      </w:r>
      <w:r w:rsidR="00354EB5" w:rsidRPr="001B6C68">
        <w:rPr>
          <w:rFonts w:ascii="Arial Narrow" w:hAnsi="Arial Narrow"/>
          <w:sz w:val="21"/>
          <w:szCs w:val="21"/>
        </w:rPr>
        <w:t xml:space="preserve"> </w:t>
      </w:r>
      <w:r w:rsidRPr="001B6C68">
        <w:rPr>
          <w:rFonts w:ascii="Arial Narrow" w:hAnsi="Arial Narrow"/>
          <w:sz w:val="21"/>
          <w:szCs w:val="21"/>
        </w:rPr>
        <w:t>planeado 23 abril)</w:t>
      </w:r>
    </w:p>
    <w:p w14:paraId="422B788E" w14:textId="77777777" w:rsidR="004C5BC8" w:rsidRPr="001B6C68" w:rsidRDefault="004C5BC8" w:rsidP="003A6CF2">
      <w:pPr>
        <w:spacing w:before="0" w:after="0"/>
        <w:ind w:left="284"/>
        <w:rPr>
          <w:rFonts w:ascii="Arial Narrow" w:hAnsi="Arial Narrow"/>
          <w:sz w:val="21"/>
          <w:szCs w:val="21"/>
        </w:rPr>
      </w:pPr>
      <w:proofErr w:type="spellStart"/>
      <w:r w:rsidRPr="001B6C68">
        <w:rPr>
          <w:rFonts w:ascii="Arial Narrow" w:hAnsi="Arial Narrow"/>
          <w:sz w:val="21"/>
          <w:szCs w:val="21"/>
        </w:rPr>
        <w:t>ii</w:t>
      </w:r>
      <w:proofErr w:type="spellEnd"/>
      <w:r w:rsidRPr="001B6C68">
        <w:rPr>
          <w:rFonts w:ascii="Arial Narrow" w:hAnsi="Arial Narrow"/>
          <w:sz w:val="21"/>
          <w:szCs w:val="21"/>
        </w:rPr>
        <w:t>) Instalación de tornillería de estructura. (Inicio planeado 30 abril)</w:t>
      </w:r>
    </w:p>
    <w:p w14:paraId="18BCB42F" w14:textId="77777777" w:rsidR="004C5BC8" w:rsidRPr="001B6C68" w:rsidRDefault="004C5BC8" w:rsidP="003A6CF2">
      <w:pPr>
        <w:spacing w:before="0" w:after="0"/>
        <w:ind w:left="284"/>
        <w:rPr>
          <w:rFonts w:ascii="Arial Narrow" w:hAnsi="Arial Narrow"/>
          <w:sz w:val="21"/>
          <w:szCs w:val="21"/>
        </w:rPr>
      </w:pPr>
      <w:proofErr w:type="spellStart"/>
      <w:r w:rsidRPr="001B6C68">
        <w:rPr>
          <w:rFonts w:ascii="Arial Narrow" w:hAnsi="Arial Narrow"/>
          <w:sz w:val="21"/>
          <w:szCs w:val="21"/>
        </w:rPr>
        <w:t>iii</w:t>
      </w:r>
      <w:proofErr w:type="spellEnd"/>
      <w:r w:rsidRPr="001B6C68">
        <w:rPr>
          <w:rFonts w:ascii="Arial Narrow" w:hAnsi="Arial Narrow"/>
          <w:sz w:val="21"/>
          <w:szCs w:val="21"/>
        </w:rPr>
        <w:t>) Instalación de coraza y bandejas porta cables. (Inicio planeado 30 abril)</w:t>
      </w:r>
    </w:p>
    <w:p w14:paraId="1A592553" w14:textId="77777777" w:rsidR="004C5BC8" w:rsidRPr="001B6C68" w:rsidRDefault="004C5BC8" w:rsidP="003A6CF2">
      <w:pPr>
        <w:spacing w:before="0" w:after="0"/>
        <w:ind w:left="284"/>
        <w:rPr>
          <w:rFonts w:ascii="Arial Narrow" w:hAnsi="Arial Narrow"/>
          <w:sz w:val="21"/>
          <w:szCs w:val="21"/>
        </w:rPr>
      </w:pPr>
      <w:proofErr w:type="spellStart"/>
      <w:r w:rsidRPr="001B6C68">
        <w:rPr>
          <w:rFonts w:ascii="Arial Narrow" w:hAnsi="Arial Narrow"/>
          <w:sz w:val="21"/>
          <w:szCs w:val="21"/>
        </w:rPr>
        <w:t>iv</w:t>
      </w:r>
      <w:proofErr w:type="spellEnd"/>
      <w:r w:rsidRPr="001B6C68">
        <w:rPr>
          <w:rFonts w:ascii="Arial Narrow" w:hAnsi="Arial Narrow"/>
          <w:sz w:val="21"/>
          <w:szCs w:val="21"/>
        </w:rPr>
        <w:t>) Instalación cableado de módulos fotovoltaicos - DC. (Inicio planeado 29 abril).</w:t>
      </w:r>
    </w:p>
    <w:p w14:paraId="68F9A81B" w14:textId="77777777" w:rsidR="004C5BC8" w:rsidRPr="001B6C68" w:rsidRDefault="004C5BC8" w:rsidP="003A6CF2">
      <w:pPr>
        <w:spacing w:before="0" w:after="0"/>
        <w:ind w:left="284"/>
        <w:rPr>
          <w:rFonts w:ascii="Arial Narrow" w:hAnsi="Arial Narrow"/>
          <w:sz w:val="21"/>
          <w:szCs w:val="21"/>
        </w:rPr>
      </w:pPr>
      <w:r w:rsidRPr="001B6C68">
        <w:rPr>
          <w:rFonts w:ascii="Arial Narrow" w:hAnsi="Arial Narrow"/>
          <w:sz w:val="21"/>
          <w:szCs w:val="21"/>
        </w:rPr>
        <w:t>v) Instalación de módulos solares a cubierta. (Inicio planeado 30 abril)</w:t>
      </w:r>
    </w:p>
    <w:p w14:paraId="753DA2CF" w14:textId="77777777" w:rsidR="00324DEC" w:rsidRPr="001B6C68" w:rsidRDefault="00324DEC" w:rsidP="003A6CF2">
      <w:pPr>
        <w:spacing w:before="0" w:after="0"/>
        <w:ind w:left="284"/>
        <w:rPr>
          <w:rFonts w:ascii="Arial Narrow" w:hAnsi="Arial Narrow"/>
          <w:sz w:val="21"/>
          <w:szCs w:val="21"/>
        </w:rPr>
      </w:pPr>
    </w:p>
    <w:p w14:paraId="4CB31489" w14:textId="77777777" w:rsidR="004C5BC8" w:rsidRPr="001B6C68" w:rsidRDefault="004C5BC8" w:rsidP="003A6CF2">
      <w:pPr>
        <w:spacing w:before="0" w:after="0"/>
        <w:rPr>
          <w:rFonts w:ascii="Arial Narrow" w:hAnsi="Arial Narrow"/>
          <w:sz w:val="21"/>
          <w:szCs w:val="21"/>
        </w:rPr>
      </w:pPr>
      <w:r w:rsidRPr="001B6C68">
        <w:rPr>
          <w:rFonts w:ascii="Arial Narrow" w:hAnsi="Arial Narrow"/>
          <w:sz w:val="21"/>
          <w:szCs w:val="21"/>
        </w:rPr>
        <w:t>Redes de media tensión:</w:t>
      </w:r>
    </w:p>
    <w:p w14:paraId="0D27A7DC" w14:textId="77777777" w:rsidR="004C5BC8" w:rsidRPr="001B6C68" w:rsidRDefault="004C5BC8" w:rsidP="003A6CF2">
      <w:pPr>
        <w:spacing w:before="0" w:after="0"/>
        <w:ind w:left="142"/>
        <w:rPr>
          <w:rFonts w:ascii="Arial Narrow" w:hAnsi="Arial Narrow"/>
          <w:sz w:val="21"/>
          <w:szCs w:val="21"/>
        </w:rPr>
      </w:pPr>
      <w:r w:rsidRPr="001B6C68">
        <w:rPr>
          <w:rFonts w:ascii="Arial Narrow" w:hAnsi="Arial Narrow"/>
          <w:sz w:val="21"/>
          <w:szCs w:val="21"/>
        </w:rPr>
        <w:t>• Aprobación de procedimientos.</w:t>
      </w:r>
    </w:p>
    <w:p w14:paraId="455F5F77" w14:textId="77777777" w:rsidR="004C5BC8" w:rsidRPr="001B6C68" w:rsidRDefault="004C5BC8" w:rsidP="003A6CF2">
      <w:pPr>
        <w:spacing w:before="0" w:after="0"/>
        <w:ind w:left="142"/>
        <w:rPr>
          <w:rFonts w:ascii="Arial Narrow" w:hAnsi="Arial Narrow"/>
          <w:sz w:val="21"/>
          <w:szCs w:val="21"/>
        </w:rPr>
      </w:pPr>
      <w:r w:rsidRPr="001B6C68">
        <w:rPr>
          <w:rFonts w:ascii="Arial Narrow" w:hAnsi="Arial Narrow"/>
          <w:sz w:val="21"/>
          <w:szCs w:val="21"/>
        </w:rPr>
        <w:t>• Inicio de la actividad de excavaciones para tubería.</w:t>
      </w:r>
    </w:p>
    <w:p w14:paraId="702694F5" w14:textId="77777777" w:rsidR="00324DEC" w:rsidRPr="001B6C68" w:rsidRDefault="00324DEC" w:rsidP="003A6CF2">
      <w:pPr>
        <w:spacing w:before="0" w:after="0"/>
        <w:rPr>
          <w:rFonts w:ascii="Arial Narrow" w:hAnsi="Arial Narrow"/>
          <w:sz w:val="21"/>
          <w:szCs w:val="21"/>
        </w:rPr>
      </w:pPr>
    </w:p>
    <w:p w14:paraId="43DABDBB" w14:textId="5A4B38C1" w:rsidR="004C5BC8" w:rsidRPr="001B6C68" w:rsidRDefault="004C5BC8" w:rsidP="003A6CF2">
      <w:pPr>
        <w:spacing w:before="0" w:after="0"/>
        <w:rPr>
          <w:rFonts w:ascii="Arial Narrow" w:hAnsi="Arial Narrow"/>
          <w:sz w:val="21"/>
          <w:szCs w:val="21"/>
        </w:rPr>
      </w:pPr>
      <w:r w:rsidRPr="001B6C68">
        <w:rPr>
          <w:rFonts w:ascii="Arial Narrow" w:hAnsi="Arial Narrow"/>
          <w:sz w:val="21"/>
          <w:szCs w:val="21"/>
        </w:rPr>
        <w:t>d) Actividades en gestión: Al cierre del mes de abril se encuentra en gestión la</w:t>
      </w:r>
      <w:r w:rsidR="005D6779" w:rsidRPr="001B6C68">
        <w:rPr>
          <w:rFonts w:ascii="Arial Narrow" w:hAnsi="Arial Narrow"/>
          <w:sz w:val="21"/>
          <w:szCs w:val="21"/>
        </w:rPr>
        <w:t xml:space="preserve"> </w:t>
      </w:r>
      <w:r w:rsidRPr="001B6C68">
        <w:rPr>
          <w:rFonts w:ascii="Arial Narrow" w:hAnsi="Arial Narrow"/>
          <w:sz w:val="21"/>
          <w:szCs w:val="21"/>
        </w:rPr>
        <w:t>aprobación del ingreso a cubierta para el inicio de actividades.</w:t>
      </w:r>
    </w:p>
    <w:p w14:paraId="4D181136" w14:textId="77777777" w:rsidR="005D6779" w:rsidRPr="001B6C68" w:rsidRDefault="005D6779" w:rsidP="003A6CF2">
      <w:pPr>
        <w:spacing w:before="0" w:after="0"/>
        <w:rPr>
          <w:rFonts w:ascii="Arial Narrow" w:hAnsi="Arial Narrow"/>
          <w:sz w:val="21"/>
          <w:szCs w:val="21"/>
        </w:rPr>
      </w:pPr>
    </w:p>
    <w:p w14:paraId="39AD8447" w14:textId="77777777" w:rsidR="004C5BC8" w:rsidRPr="001B6C68" w:rsidRDefault="004C5BC8" w:rsidP="003A6CF2">
      <w:pPr>
        <w:spacing w:before="0" w:after="0"/>
        <w:rPr>
          <w:rFonts w:ascii="Arial Narrow" w:hAnsi="Arial Narrow"/>
          <w:sz w:val="21"/>
          <w:szCs w:val="21"/>
        </w:rPr>
      </w:pPr>
      <w:r w:rsidRPr="001B6C68">
        <w:rPr>
          <w:rFonts w:ascii="Arial Narrow" w:hAnsi="Arial Narrow"/>
          <w:sz w:val="21"/>
          <w:szCs w:val="21"/>
        </w:rPr>
        <w:t>e) Solución Internet:</w:t>
      </w:r>
    </w:p>
    <w:p w14:paraId="2335FCBB" w14:textId="77777777" w:rsidR="00A927D0" w:rsidRPr="001B6C68" w:rsidRDefault="004C5BC8" w:rsidP="003A6CF2">
      <w:pPr>
        <w:spacing w:before="0" w:after="0"/>
        <w:ind w:left="284"/>
        <w:rPr>
          <w:rFonts w:ascii="Arial Narrow" w:hAnsi="Arial Narrow"/>
          <w:sz w:val="21"/>
          <w:szCs w:val="21"/>
        </w:rPr>
      </w:pPr>
      <w:r w:rsidRPr="001B6C68">
        <w:rPr>
          <w:rFonts w:ascii="Arial Narrow" w:hAnsi="Arial Narrow"/>
          <w:sz w:val="21"/>
          <w:szCs w:val="21"/>
        </w:rPr>
        <w:t>• Se recibió el 13 de abril la ficha técnica definitiva para el sistema de internet en el</w:t>
      </w:r>
      <w:r w:rsidR="005D6779" w:rsidRPr="001B6C68">
        <w:rPr>
          <w:rFonts w:ascii="Arial Narrow" w:hAnsi="Arial Narrow"/>
          <w:sz w:val="21"/>
          <w:szCs w:val="21"/>
        </w:rPr>
        <w:t xml:space="preserve"> </w:t>
      </w:r>
      <w:r w:rsidRPr="001B6C68">
        <w:rPr>
          <w:rFonts w:ascii="Arial Narrow" w:hAnsi="Arial Narrow"/>
          <w:sz w:val="21"/>
          <w:szCs w:val="21"/>
        </w:rPr>
        <w:t>CEFE Tunal. Se realiza la revisión de la información para determinar los ajustes</w:t>
      </w:r>
      <w:r w:rsidR="00285DFA" w:rsidRPr="001B6C68">
        <w:rPr>
          <w:rFonts w:ascii="Arial Narrow" w:hAnsi="Arial Narrow"/>
          <w:sz w:val="21"/>
          <w:szCs w:val="21"/>
        </w:rPr>
        <w:t xml:space="preserve"> </w:t>
      </w:r>
      <w:r w:rsidRPr="001B6C68">
        <w:rPr>
          <w:rFonts w:ascii="Arial Narrow" w:hAnsi="Arial Narrow"/>
          <w:sz w:val="21"/>
          <w:szCs w:val="21"/>
        </w:rPr>
        <w:t>realizados a la versión inicial, la cual fue aprobada en la etapa de estructuración del</w:t>
      </w:r>
      <w:r w:rsidR="00A927D0" w:rsidRPr="001B6C68">
        <w:rPr>
          <w:rFonts w:ascii="Arial Narrow" w:hAnsi="Arial Narrow"/>
          <w:sz w:val="21"/>
          <w:szCs w:val="21"/>
        </w:rPr>
        <w:t xml:space="preserve"> proyecto.</w:t>
      </w:r>
    </w:p>
    <w:p w14:paraId="04CB31EC" w14:textId="43B80BDD" w:rsidR="00542C62" w:rsidRPr="001B6C68" w:rsidRDefault="00A927D0" w:rsidP="003A6CF2">
      <w:pPr>
        <w:spacing w:before="0" w:after="0"/>
        <w:ind w:left="284"/>
        <w:rPr>
          <w:rFonts w:ascii="Arial Narrow" w:hAnsi="Arial Narrow"/>
          <w:sz w:val="21"/>
          <w:szCs w:val="21"/>
        </w:rPr>
      </w:pPr>
      <w:r w:rsidRPr="001B6C68">
        <w:rPr>
          <w:rFonts w:ascii="Arial Narrow" w:hAnsi="Arial Narrow"/>
          <w:sz w:val="21"/>
          <w:szCs w:val="21"/>
        </w:rPr>
        <w:t>• Se recibió el 30 de abril información adicional por parte del IDRD para completar el análisis.</w:t>
      </w:r>
    </w:p>
    <w:p w14:paraId="236458BB" w14:textId="77777777" w:rsidR="00542C62" w:rsidRPr="001B6C68" w:rsidRDefault="00542C62">
      <w:pPr>
        <w:rPr>
          <w:rFonts w:ascii="Arial Narrow" w:hAnsi="Arial Narrow"/>
          <w:sz w:val="21"/>
          <w:szCs w:val="21"/>
        </w:rPr>
      </w:pPr>
    </w:p>
    <w:p w14:paraId="0FBC45AB" w14:textId="6FCDEF78" w:rsidR="00542C62" w:rsidRPr="003A6CF2" w:rsidRDefault="004B1850" w:rsidP="00130B83">
      <w:pPr>
        <w:spacing w:after="60"/>
        <w:jc w:val="left"/>
        <w:rPr>
          <w:rFonts w:ascii="Arial Narrow" w:hAnsi="Arial Narrow"/>
          <w:color w:val="000000" w:themeColor="text1"/>
          <w:sz w:val="21"/>
          <w:szCs w:val="21"/>
        </w:rPr>
      </w:pPr>
      <w:r w:rsidRPr="003A6CF2">
        <w:rPr>
          <w:rFonts w:ascii="Arial Narrow" w:hAnsi="Arial Narrow"/>
          <w:color w:val="000000" w:themeColor="text1"/>
          <w:sz w:val="21"/>
          <w:szCs w:val="21"/>
          <w:lang w:val="es-CO"/>
        </w:rPr>
        <w:t>Resolución de alertas del informe de marzo / Estado en abril 2026</w:t>
      </w:r>
    </w:p>
    <w:tbl>
      <w:tblPr>
        <w:tblW w:w="996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3200"/>
        <w:gridCol w:w="4200"/>
        <w:gridCol w:w="2560"/>
      </w:tblGrid>
      <w:tr w:rsidR="00542C62" w:rsidRPr="001B6C68" w14:paraId="0910B9C3" w14:textId="77777777" w:rsidTr="77D38289">
        <w:tc>
          <w:tcPr>
            <w:tcW w:w="32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44C95E61"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Alerta de marzo 2026</w:t>
            </w:r>
          </w:p>
        </w:tc>
        <w:tc>
          <w:tcPr>
            <w:tcW w:w="42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7C367DFC"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Actualización en abril 2026</w:t>
            </w:r>
          </w:p>
        </w:tc>
        <w:tc>
          <w:tcPr>
            <w:tcW w:w="256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518C2914"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Estado</w:t>
            </w:r>
          </w:p>
        </w:tc>
      </w:tr>
      <w:tr w:rsidR="00542C62" w:rsidRPr="001B6C68" w14:paraId="1BEB9457" w14:textId="77777777" w:rsidTr="77D38289">
        <w:tc>
          <w:tcPr>
            <w:tcW w:w="32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61B32AFB"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 xml:space="preserve">Autorización trámites ante operador </w:t>
            </w:r>
            <w:r w:rsidRPr="001B6C68">
              <w:rPr>
                <w:rFonts w:ascii="Arial Narrow" w:hAnsi="Arial Narrow"/>
                <w:color w:val="000000"/>
                <w:sz w:val="21"/>
                <w:szCs w:val="21"/>
              </w:rPr>
              <w:lastRenderedPageBreak/>
              <w:t xml:space="preserve">de red — ambos </w:t>
            </w:r>
            <w:proofErr w:type="spellStart"/>
            <w:r w:rsidRPr="001B6C68">
              <w:rPr>
                <w:rFonts w:ascii="Arial Narrow" w:hAnsi="Arial Narrow"/>
                <w:color w:val="000000"/>
                <w:sz w:val="21"/>
                <w:szCs w:val="21"/>
              </w:rPr>
              <w:t>CEFEs</w:t>
            </w:r>
            <w:proofErr w:type="spellEnd"/>
          </w:p>
        </w:tc>
        <w:tc>
          <w:tcPr>
            <w:tcW w:w="42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3184C16A"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lastRenderedPageBreak/>
              <w:t>IDRD envió la autorización al cierre de abril 2026.</w:t>
            </w:r>
          </w:p>
        </w:tc>
        <w:tc>
          <w:tcPr>
            <w:tcW w:w="25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4CFCDE5E"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1A7A1A"/>
                <w:sz w:val="21"/>
                <w:szCs w:val="21"/>
              </w:rPr>
              <w:t>CUMPLIDO</w:t>
            </w:r>
          </w:p>
        </w:tc>
      </w:tr>
      <w:tr w:rsidR="00542C62" w:rsidRPr="001B6C68" w14:paraId="19500B22" w14:textId="77777777" w:rsidTr="77D38289">
        <w:tc>
          <w:tcPr>
            <w:tcW w:w="3200"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80" w:type="dxa"/>
              <w:left w:w="120" w:type="dxa"/>
              <w:bottom w:w="80" w:type="dxa"/>
              <w:right w:w="120" w:type="dxa"/>
            </w:tcMar>
            <w:vAlign w:val="center"/>
          </w:tcPr>
          <w:p w14:paraId="37A69F6E"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Aprobación conexión SE San Cristóbal</w:t>
            </w:r>
          </w:p>
        </w:tc>
        <w:tc>
          <w:tcPr>
            <w:tcW w:w="4200"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80" w:type="dxa"/>
              <w:left w:w="120" w:type="dxa"/>
              <w:bottom w:w="80" w:type="dxa"/>
              <w:right w:w="120" w:type="dxa"/>
            </w:tcMar>
            <w:vAlign w:val="center"/>
          </w:tcPr>
          <w:p w14:paraId="0E3EFFED"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IDRD emitió la aprobación al cierre de abril 2026.</w:t>
            </w:r>
          </w:p>
        </w:tc>
        <w:tc>
          <w:tcPr>
            <w:tcW w:w="25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21ECED15"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1A7A1A"/>
                <w:sz w:val="21"/>
                <w:szCs w:val="21"/>
              </w:rPr>
              <w:t>CUMPLIDO</w:t>
            </w:r>
          </w:p>
        </w:tc>
      </w:tr>
      <w:tr w:rsidR="00542C62" w:rsidRPr="001B6C68" w14:paraId="73BAD0FC" w14:textId="77777777" w:rsidTr="77D38289">
        <w:tc>
          <w:tcPr>
            <w:tcW w:w="32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2EC7DC49"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Aprobación ruta BT CEFE Tunal</w:t>
            </w:r>
          </w:p>
        </w:tc>
        <w:tc>
          <w:tcPr>
            <w:tcW w:w="42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445ABA8E"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Aprobación obtenida el 10/03/2026. Confirmada al cierre de abril.</w:t>
            </w:r>
          </w:p>
        </w:tc>
        <w:tc>
          <w:tcPr>
            <w:tcW w:w="25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67B3B1D9"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1A7A1A"/>
                <w:sz w:val="21"/>
                <w:szCs w:val="21"/>
              </w:rPr>
              <w:t>CUMPLIDO</w:t>
            </w:r>
          </w:p>
        </w:tc>
      </w:tr>
      <w:tr w:rsidR="00542C62" w:rsidRPr="001B6C68" w14:paraId="072F9FE2" w14:textId="77777777" w:rsidTr="77D38289">
        <w:tc>
          <w:tcPr>
            <w:tcW w:w="3200"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80" w:type="dxa"/>
              <w:left w:w="120" w:type="dxa"/>
              <w:bottom w:w="80" w:type="dxa"/>
              <w:right w:w="120" w:type="dxa"/>
            </w:tcMar>
            <w:vAlign w:val="center"/>
          </w:tcPr>
          <w:p w14:paraId="60F036C0"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Diseños definitivos Internet — CEFE Tunal</w:t>
            </w:r>
          </w:p>
        </w:tc>
        <w:tc>
          <w:tcPr>
            <w:tcW w:w="4200"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80" w:type="dxa"/>
              <w:left w:w="120" w:type="dxa"/>
              <w:bottom w:w="80" w:type="dxa"/>
              <w:right w:w="120" w:type="dxa"/>
            </w:tcMar>
            <w:vAlign w:val="center"/>
          </w:tcPr>
          <w:p w14:paraId="7A715078"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Ficha técnica recibida 13/04/2026. Información adicional IDRD el 30/04/2026. En análisis de ajustes.</w:t>
            </w:r>
          </w:p>
        </w:tc>
        <w:tc>
          <w:tcPr>
            <w:tcW w:w="2560" w:type="dxa"/>
            <w:tcBorders>
              <w:top w:val="single" w:sz="4" w:space="0" w:color="AAAAAA"/>
              <w:left w:val="single" w:sz="4" w:space="0" w:color="AAAAAA"/>
              <w:bottom w:val="single" w:sz="4" w:space="0" w:color="AAAAAA"/>
              <w:right w:val="single" w:sz="4" w:space="0" w:color="AAAAAA"/>
            </w:tcBorders>
            <w:shd w:val="clear" w:color="auto" w:fill="D0E4F5"/>
            <w:tcMar>
              <w:top w:w="80" w:type="dxa"/>
              <w:left w:w="120" w:type="dxa"/>
              <w:bottom w:w="80" w:type="dxa"/>
              <w:right w:w="120" w:type="dxa"/>
            </w:tcMar>
            <w:vAlign w:val="center"/>
          </w:tcPr>
          <w:p w14:paraId="6828FAEF"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1A5C8A"/>
                <w:sz w:val="21"/>
                <w:szCs w:val="21"/>
              </w:rPr>
              <w:t>EN SEGUIMIENTO</w:t>
            </w:r>
          </w:p>
        </w:tc>
      </w:tr>
      <w:tr w:rsidR="00542C62" w:rsidRPr="001B6C68" w14:paraId="1ECCE2EB" w14:textId="77777777" w:rsidTr="77D38289">
        <w:tc>
          <w:tcPr>
            <w:tcW w:w="32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49155AA5"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Diseños iluminación cancha — CEFE San Cristóbal</w:t>
            </w:r>
          </w:p>
        </w:tc>
        <w:tc>
          <w:tcPr>
            <w:tcW w:w="42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534358F6"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Ficha técnica recibida el 30/04/2026. Revisión de ajustes a iniciar en mayo.</w:t>
            </w:r>
          </w:p>
        </w:tc>
        <w:tc>
          <w:tcPr>
            <w:tcW w:w="2560" w:type="dxa"/>
            <w:tcBorders>
              <w:top w:val="single" w:sz="4" w:space="0" w:color="AAAAAA"/>
              <w:left w:val="single" w:sz="4" w:space="0" w:color="AAAAAA"/>
              <w:bottom w:val="single" w:sz="4" w:space="0" w:color="AAAAAA"/>
              <w:right w:val="single" w:sz="4" w:space="0" w:color="AAAAAA"/>
            </w:tcBorders>
            <w:shd w:val="clear" w:color="auto" w:fill="D0E4F5"/>
            <w:tcMar>
              <w:top w:w="80" w:type="dxa"/>
              <w:left w:w="120" w:type="dxa"/>
              <w:bottom w:w="80" w:type="dxa"/>
              <w:right w:w="120" w:type="dxa"/>
            </w:tcMar>
            <w:vAlign w:val="center"/>
          </w:tcPr>
          <w:p w14:paraId="59B8BA38"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1A5C8A"/>
                <w:sz w:val="21"/>
                <w:szCs w:val="21"/>
              </w:rPr>
              <w:t>EN SEGUIMIENTO</w:t>
            </w:r>
          </w:p>
        </w:tc>
      </w:tr>
      <w:tr w:rsidR="00542C62" w:rsidRPr="001B6C68" w14:paraId="2BBF8052" w14:textId="77777777" w:rsidTr="77D38289">
        <w:tc>
          <w:tcPr>
            <w:tcW w:w="3200"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80" w:type="dxa"/>
              <w:left w:w="120" w:type="dxa"/>
              <w:bottom w:w="80" w:type="dxa"/>
              <w:right w:w="120" w:type="dxa"/>
            </w:tcMar>
            <w:vAlign w:val="center"/>
          </w:tcPr>
          <w:p w14:paraId="352A0C6A"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Aprobación ingeniería componente solar por IDRD para inicio en cubierta</w:t>
            </w:r>
          </w:p>
        </w:tc>
        <w:tc>
          <w:tcPr>
            <w:tcW w:w="4200"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80" w:type="dxa"/>
              <w:left w:w="120" w:type="dxa"/>
              <w:bottom w:w="80" w:type="dxa"/>
              <w:right w:w="120" w:type="dxa"/>
            </w:tcMar>
            <w:vAlign w:val="center"/>
          </w:tcPr>
          <w:p w14:paraId="292B1D72"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Pendiente a la fecha de corte del informe de abril. Ingeniería SSFV entregada el 29/04/2026 para revisión y aprobación. Sin aprobación, no es posible iniciar instalación de paneles en cubiertas.</w:t>
            </w:r>
          </w:p>
        </w:tc>
        <w:tc>
          <w:tcPr>
            <w:tcW w:w="2560" w:type="dxa"/>
            <w:tcBorders>
              <w:top w:val="single" w:sz="4" w:space="0" w:color="AAAAAA"/>
              <w:left w:val="single" w:sz="4" w:space="0" w:color="AAAAAA"/>
              <w:bottom w:val="single" w:sz="4" w:space="0" w:color="AAAAAA"/>
              <w:right w:val="single" w:sz="4" w:space="0" w:color="AAAAAA"/>
            </w:tcBorders>
            <w:shd w:val="clear" w:color="auto" w:fill="D0E4F5"/>
            <w:tcMar>
              <w:top w:w="80" w:type="dxa"/>
              <w:left w:w="120" w:type="dxa"/>
              <w:bottom w:w="80" w:type="dxa"/>
              <w:right w:w="120" w:type="dxa"/>
            </w:tcMar>
            <w:vAlign w:val="center"/>
          </w:tcPr>
          <w:p w14:paraId="76155735"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1A5C8A"/>
                <w:sz w:val="21"/>
                <w:szCs w:val="21"/>
              </w:rPr>
              <w:t>EN SEGUIMIENTO</w:t>
            </w:r>
          </w:p>
        </w:tc>
      </w:tr>
    </w:tbl>
    <w:p w14:paraId="46B26472" w14:textId="77777777" w:rsidR="00130B83" w:rsidRPr="003A6CF2" w:rsidRDefault="004B1850" w:rsidP="00130B83">
      <w:pPr>
        <w:spacing w:before="160" w:after="80"/>
        <w:jc w:val="left"/>
        <w:rPr>
          <w:rFonts w:ascii="Arial Narrow" w:hAnsi="Arial Narrow"/>
          <w:color w:val="31849B" w:themeColor="accent5" w:themeShade="BF"/>
          <w:sz w:val="21"/>
          <w:szCs w:val="21"/>
          <w:lang w:val="es-CO"/>
        </w:rPr>
      </w:pPr>
      <w:r w:rsidRPr="003A6CF2">
        <w:rPr>
          <w:rFonts w:ascii="Arial Narrow" w:hAnsi="Arial Narrow"/>
          <w:color w:val="31849B" w:themeColor="accent5" w:themeShade="BF"/>
          <w:sz w:val="21"/>
          <w:szCs w:val="21"/>
          <w:lang w:val="es-CO"/>
        </w:rPr>
        <w:t>4.2.4 Informe de seguimiento — mayo de 2026 (Código: ADM-0003-0)</w:t>
      </w:r>
    </w:p>
    <w:p w14:paraId="44C4529D" w14:textId="77777777" w:rsidR="00542C62" w:rsidRPr="003A6CF2" w:rsidRDefault="004B1850" w:rsidP="00130B83">
      <w:pPr>
        <w:spacing w:after="60"/>
        <w:jc w:val="left"/>
        <w:rPr>
          <w:rFonts w:ascii="Arial Narrow" w:hAnsi="Arial Narrow"/>
          <w:color w:val="000000" w:themeColor="text1"/>
          <w:sz w:val="21"/>
          <w:szCs w:val="21"/>
        </w:rPr>
      </w:pPr>
      <w:r w:rsidRPr="003A6CF2">
        <w:rPr>
          <w:rFonts w:ascii="Arial Narrow" w:hAnsi="Arial Narrow"/>
          <w:color w:val="000000" w:themeColor="text1"/>
          <w:sz w:val="21"/>
          <w:szCs w:val="21"/>
          <w:lang w:val="es-CO"/>
        </w:rPr>
        <w:t>Avance físico del proyecto — Corte 29 de mayo de 2026</w:t>
      </w:r>
    </w:p>
    <w:tbl>
      <w:tblPr>
        <w:tblW w:w="996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2000"/>
        <w:gridCol w:w="1800"/>
        <w:gridCol w:w="1800"/>
        <w:gridCol w:w="1600"/>
        <w:gridCol w:w="2760"/>
      </w:tblGrid>
      <w:tr w:rsidR="00542C62" w:rsidRPr="001B6C68" w14:paraId="144BB327" w14:textId="77777777">
        <w:tc>
          <w:tcPr>
            <w:tcW w:w="20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3AA22BC6"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CEFE</w:t>
            </w:r>
          </w:p>
        </w:tc>
        <w:tc>
          <w:tcPr>
            <w:tcW w:w="18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7A76237E"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Avance físico</w:t>
            </w:r>
          </w:p>
        </w:tc>
        <w:tc>
          <w:tcPr>
            <w:tcW w:w="18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213C8D70"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Proyectado</w:t>
            </w:r>
          </w:p>
        </w:tc>
        <w:tc>
          <w:tcPr>
            <w:tcW w:w="16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2B0AD47C"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Desviación</w:t>
            </w:r>
          </w:p>
        </w:tc>
        <w:tc>
          <w:tcPr>
            <w:tcW w:w="276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598667DF"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Estado</w:t>
            </w:r>
          </w:p>
        </w:tc>
      </w:tr>
      <w:tr w:rsidR="00542C62" w:rsidRPr="001B6C68" w14:paraId="61EB5B54" w14:textId="77777777">
        <w:tc>
          <w:tcPr>
            <w:tcW w:w="20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37248A2D"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CEFE Tunal</w:t>
            </w:r>
          </w:p>
        </w:tc>
        <w:tc>
          <w:tcPr>
            <w:tcW w:w="18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0FD5C43B"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000000"/>
                <w:sz w:val="21"/>
                <w:szCs w:val="21"/>
              </w:rPr>
              <w:t>51%</w:t>
            </w:r>
          </w:p>
        </w:tc>
        <w:tc>
          <w:tcPr>
            <w:tcW w:w="18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16D5C3C8"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000000"/>
                <w:sz w:val="21"/>
                <w:szCs w:val="21"/>
              </w:rPr>
              <w:t>70%</w:t>
            </w:r>
          </w:p>
        </w:tc>
        <w:tc>
          <w:tcPr>
            <w:tcW w:w="16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21C499EA"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1A7A1A"/>
                <w:sz w:val="21"/>
                <w:szCs w:val="21"/>
              </w:rPr>
              <w:t>-19%</w:t>
            </w:r>
          </w:p>
        </w:tc>
        <w:tc>
          <w:tcPr>
            <w:tcW w:w="27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0E5159B6"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1A7A1A"/>
                <w:sz w:val="21"/>
                <w:szCs w:val="21"/>
              </w:rPr>
              <w:t>EN RIESGO</w:t>
            </w:r>
          </w:p>
        </w:tc>
      </w:tr>
      <w:tr w:rsidR="00542C62" w:rsidRPr="001B6C68" w14:paraId="1C68CF59" w14:textId="77777777">
        <w:tc>
          <w:tcPr>
            <w:tcW w:w="2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1D1B98E8"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CEFE San Cristóbal</w:t>
            </w:r>
          </w:p>
        </w:tc>
        <w:tc>
          <w:tcPr>
            <w:tcW w:w="18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46C5CBA1"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000000"/>
                <w:sz w:val="21"/>
                <w:szCs w:val="21"/>
              </w:rPr>
              <w:t>51%</w:t>
            </w:r>
          </w:p>
        </w:tc>
        <w:tc>
          <w:tcPr>
            <w:tcW w:w="18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2D21C70A"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000000"/>
                <w:sz w:val="21"/>
                <w:szCs w:val="21"/>
              </w:rPr>
              <w:t>69%</w:t>
            </w:r>
          </w:p>
        </w:tc>
        <w:tc>
          <w:tcPr>
            <w:tcW w:w="16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03DDA586"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8A1A1A"/>
                <w:sz w:val="21"/>
                <w:szCs w:val="21"/>
              </w:rPr>
              <w:t>-18%</w:t>
            </w:r>
          </w:p>
        </w:tc>
        <w:tc>
          <w:tcPr>
            <w:tcW w:w="2760" w:type="dxa"/>
            <w:tcBorders>
              <w:top w:val="single" w:sz="4" w:space="0" w:color="AAAAAA"/>
              <w:left w:val="single" w:sz="4" w:space="0" w:color="AAAAAA"/>
              <w:bottom w:val="single" w:sz="4" w:space="0" w:color="AAAAAA"/>
              <w:right w:val="single" w:sz="4" w:space="0" w:color="AAAAAA"/>
            </w:tcBorders>
            <w:shd w:val="clear" w:color="auto" w:fill="FFF3CD"/>
            <w:tcMar>
              <w:top w:w="80" w:type="dxa"/>
              <w:left w:w="120" w:type="dxa"/>
              <w:bottom w:w="80" w:type="dxa"/>
              <w:right w:w="120" w:type="dxa"/>
            </w:tcMar>
            <w:vAlign w:val="center"/>
          </w:tcPr>
          <w:p w14:paraId="6923C5D1"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856404"/>
                <w:sz w:val="21"/>
                <w:szCs w:val="21"/>
              </w:rPr>
              <w:t>EN RIESGO</w:t>
            </w:r>
          </w:p>
        </w:tc>
      </w:tr>
    </w:tbl>
    <w:p w14:paraId="7BE75CCC" w14:textId="77777777" w:rsidR="00130B83" w:rsidRPr="001B6C68" w:rsidRDefault="00130B83" w:rsidP="00130B83">
      <w:pPr>
        <w:pStyle w:val="p1"/>
        <w:rPr>
          <w:rFonts w:ascii="Arial Narrow" w:hAnsi="Arial Narrow"/>
          <w:color w:val="000000" w:themeColor="text1"/>
          <w:sz w:val="21"/>
          <w:szCs w:val="21"/>
        </w:rPr>
      </w:pPr>
      <w:r w:rsidRPr="001B6C68">
        <w:rPr>
          <w:rFonts w:ascii="Arial Narrow" w:hAnsi="Arial Narrow"/>
          <w:color w:val="000000" w:themeColor="text1"/>
          <w:sz w:val="21"/>
          <w:szCs w:val="21"/>
        </w:rPr>
        <w:t>Tabla tomada del informe ENLAZAGEB-OXI-CONV1248-2025-ADM-0003-0</w:t>
      </w:r>
    </w:p>
    <w:p w14:paraId="75E00BA5" w14:textId="77777777" w:rsidR="00130B83" w:rsidRPr="001B6C68" w:rsidRDefault="00130B83" w:rsidP="00130B83">
      <w:pPr>
        <w:rPr>
          <w:rFonts w:ascii="Arial Narrow" w:hAnsi="Arial Narrow"/>
          <w:sz w:val="21"/>
          <w:szCs w:val="21"/>
        </w:rPr>
      </w:pPr>
    </w:p>
    <w:p w14:paraId="2F2BBDCA" w14:textId="77777777" w:rsidR="00130B83" w:rsidRPr="003A6CF2" w:rsidRDefault="00130B83" w:rsidP="00130B83">
      <w:pPr>
        <w:spacing w:after="60"/>
        <w:jc w:val="left"/>
        <w:rPr>
          <w:rFonts w:ascii="Arial Narrow" w:hAnsi="Arial Narrow"/>
          <w:b/>
          <w:bCs/>
          <w:color w:val="000000" w:themeColor="text1"/>
          <w:sz w:val="21"/>
          <w:szCs w:val="21"/>
        </w:rPr>
      </w:pPr>
      <w:r w:rsidRPr="003A6CF2">
        <w:rPr>
          <w:rFonts w:ascii="Arial Narrow" w:hAnsi="Arial Narrow"/>
          <w:b/>
          <w:bCs/>
          <w:color w:val="000000" w:themeColor="text1"/>
          <w:sz w:val="21"/>
          <w:szCs w:val="21"/>
          <w:lang w:val="es-CO"/>
        </w:rPr>
        <w:t xml:space="preserve">Actividades ejecutadas en mayo — CEFE San Cristóbal: </w:t>
      </w:r>
    </w:p>
    <w:p w14:paraId="3C1CCA2C" w14:textId="77777777" w:rsidR="004C41F6" w:rsidRPr="001B6C68" w:rsidRDefault="004C41F6" w:rsidP="003A6CF2">
      <w:pPr>
        <w:spacing w:before="0" w:after="0"/>
        <w:jc w:val="left"/>
        <w:rPr>
          <w:rFonts w:ascii="Arial Narrow" w:hAnsi="Arial Narrow"/>
          <w:sz w:val="21"/>
          <w:szCs w:val="21"/>
        </w:rPr>
      </w:pPr>
      <w:r w:rsidRPr="001B6C68">
        <w:rPr>
          <w:rFonts w:ascii="Arial Narrow" w:hAnsi="Arial Narrow"/>
          <w:sz w:val="21"/>
          <w:szCs w:val="21"/>
        </w:rPr>
        <w:t>Avance actividades:</w:t>
      </w:r>
    </w:p>
    <w:p w14:paraId="3784C104"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 xml:space="preserve">a) Certificación de sistemas de protección para trabajo en altura: El 29 de mayo de 2026, GEB Enlaza remitió al IDRD y a la SDHT la documentación completa del sistema de protección contra caídas instalado en la cubierta del CEFE San Cristóbal: certificación de instalación y prueba de carga de 16 puntos de anclaje modelo Climbrock 2512 (JRD Ingeniería), conforme a EN 795:2012 Tipo A, ANSI Z359.18 y OSHA 1910/1926, todos con resultado APTO; y memoria </w:t>
      </w:r>
      <w:r w:rsidRPr="003A6CF2">
        <w:rPr>
          <w:rFonts w:ascii="Arial Narrow" w:hAnsi="Arial Narrow"/>
          <w:color w:val="000000" w:themeColor="text1"/>
          <w:sz w:val="21"/>
          <w:szCs w:val="21"/>
          <w:lang w:val="es-CO"/>
        </w:rPr>
        <w:lastRenderedPageBreak/>
        <w:t>de cálculo de la escalera fija. Los sistemas certificados cumplen la Resolución 4272 de 2021 del Ministerio del Trabajo.</w:t>
      </w:r>
    </w:p>
    <w:p w14:paraId="7AED97C8"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b) Ingeniería: Ejecutado 90%. Los diseños solares debían estar aprobados el 21 de abril de 2026; se encuentran pendientes de aprobación formal por parte de la SDHT y el IDRD a la fecha de corte.</w:t>
      </w:r>
    </w:p>
    <w:p w14:paraId="07E4D1FD"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c) Canalizaciones de media tensión: Avance del 63% en tendido de tubería (10 m de 16 m proyectados) y 30% en instalación de cajas (0,3 de 1 proyectada).</w:t>
      </w:r>
    </w:p>
    <w:p w14:paraId="705893D3"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d) Sistema solar en cubierta: Avance del 17% frente a un planeado del 56%. Las actividades de instalación de módulos solares, cableado DC, tablero principal AC y pruebas DC presentan atraso por no contar con la aprobación de los diseños.</w:t>
      </w:r>
    </w:p>
    <w:p w14:paraId="112BF958"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e) Traslado de paneles: Al corte del 29 de mayo se encontraban en campamento 1.327 de los 1.833 paneles a instalar.</w:t>
      </w:r>
    </w:p>
    <w:p w14:paraId="5F0969D4"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f) Novedad — interferencia con infraestructura existente: El 18 de mayo de 2026, durante la excavación de la cámara CS 275 de baja tensión, se detectó interferencia con tubería preexistente de otra especialidad. MGM Ingeniería presentó tres (3) alternativas técnicas a ENEL, ninguna aprobada por desviaciones frente a la normatividad vigente. Tras visita técnica y apiques de verificación, se estableció que la tubería termina en punta a 7,20 m del muro, lo que permite inferir que no se encuentra en servicio; la alternativa técnicamente viable es la anulación del tramo dentro del área de la subestación, sujeta a aprobación formal del IDRD, pendiente al cierre del informe.</w:t>
      </w:r>
    </w:p>
    <w:p w14:paraId="072DC116"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g) Iluminación cancha: Durante mayo se inició la revisión de los ajustes frente a la versión aprobada en la etapa de estructuración y se dio inicio al proceso de reestructuración de los TdR. Se espera reabrir el proceso competitivo abierto durante la tercera semana de junio de 2026.</w:t>
      </w:r>
    </w:p>
    <w:p w14:paraId="01551F05" w14:textId="77777777" w:rsidR="00130B83" w:rsidRPr="001B6C68" w:rsidRDefault="00130B83" w:rsidP="00E2246A">
      <w:pPr>
        <w:rPr>
          <w:rFonts w:ascii="Arial Narrow" w:hAnsi="Arial Narrow"/>
          <w:sz w:val="21"/>
          <w:szCs w:val="21"/>
        </w:rPr>
      </w:pPr>
    </w:p>
    <w:p w14:paraId="3993B4DF" w14:textId="77777777" w:rsidR="00130B83" w:rsidRPr="003A6CF2" w:rsidRDefault="00130B83" w:rsidP="00E2246A">
      <w:pPr>
        <w:spacing w:after="60"/>
        <w:rPr>
          <w:rFonts w:ascii="Arial Narrow" w:hAnsi="Arial Narrow"/>
          <w:b/>
          <w:bCs/>
          <w:color w:val="000000" w:themeColor="text1"/>
          <w:sz w:val="21"/>
          <w:szCs w:val="21"/>
        </w:rPr>
      </w:pPr>
      <w:r w:rsidRPr="003A6CF2">
        <w:rPr>
          <w:rFonts w:ascii="Arial Narrow" w:hAnsi="Arial Narrow"/>
          <w:b/>
          <w:bCs/>
          <w:color w:val="000000" w:themeColor="text1"/>
          <w:sz w:val="21"/>
          <w:szCs w:val="21"/>
          <w:lang w:val="es-CO"/>
        </w:rPr>
        <w:t xml:space="preserve">Actividades ejecutadas en mayo — CEFE Tunal: </w:t>
      </w:r>
    </w:p>
    <w:p w14:paraId="728E8F60" w14:textId="77777777" w:rsidR="004C41F6" w:rsidRPr="001B6C68" w:rsidRDefault="004C41F6" w:rsidP="00E2246A">
      <w:pPr>
        <w:spacing w:before="0" w:after="0"/>
        <w:rPr>
          <w:rFonts w:ascii="Arial Narrow" w:hAnsi="Arial Narrow"/>
          <w:sz w:val="21"/>
          <w:szCs w:val="21"/>
        </w:rPr>
      </w:pPr>
      <w:r w:rsidRPr="001B6C68">
        <w:rPr>
          <w:rFonts w:ascii="Arial Narrow" w:hAnsi="Arial Narrow"/>
          <w:sz w:val="21"/>
          <w:szCs w:val="21"/>
        </w:rPr>
        <w:t>Avance actividades:</w:t>
      </w:r>
    </w:p>
    <w:p w14:paraId="621F3C4D"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a) Certificación de sistemas de protección para trabajo en altura: El 29 de mayo de 2026, GEB Enlaza remitió al IDRD y a la SDHT la documentación completa del sistema de protección contra caídas instalado en la cubierta del CEFE Tunal: informes de instalación de líneas de vida horizontales con prueba de carga (LV 260 m zona sur y zona norte, Instituto RR SAS, ambos resultado APTO) y memoria de cálculo de escalera fija (3 sistemas, JRD Ingeniería), conforme a la Resolución 4272 de 2021 del Ministerio del Trabajo.</w:t>
      </w:r>
    </w:p>
    <w:p w14:paraId="63593B80"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b) Ingeniería: Avance del 90%. Los documentos fueron entregados al IDRD y a la SDHT para revisión y aprobación formal, actividad que se encuentra pendiente de finalizar al corte del presente informe.</w:t>
      </w:r>
    </w:p>
    <w:p w14:paraId="714C7C0F"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c) Canalizaciones de media tensión: Avance del 97% en tendido de tubería (181,74 m de 190,0 m proyectados) y 100% en instalación de cajas (8 de 8). Se iniciaron las excavaciones para la cimentación de la subestación tipo pedestal, con replanteo y nivelación ejecutados; continúa la instalación del SPT.</w:t>
      </w:r>
    </w:p>
    <w:p w14:paraId="1E402E22"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lastRenderedPageBreak/>
        <w:t>d) Sistema solar en cubierta: Avance del 15% frente a un planeado del 67%. Las actividades de suministro y traslado de estructura de módulos, instalación de tornillería, instalación de coraza y bandejas porta cables, e instalación de módulos solares presentan atraso debido a que aún no se cuenta con la aprobación de los diseños ni la autorización de ingreso a cubierta.</w:t>
      </w:r>
    </w:p>
    <w:p w14:paraId="1F368A5F"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e) Novedad: El 14 de mayo de 2026 se presentó daño incidental a una tubería de agua potable de 1½" durante actividades de excavación para conformación de la caja CS276, con desperdicio estimado de 6.426 litros (caudal estimado 1,54 L/s, tiempo de fuga 70 minutos) y suspensión temporal del suministro a 4 casetas. La fuga fue controlada mediante cierre de válvula principal, la tubería fue reparada y el servicio fue restablecido a las 14:11 del mismo día.</w:t>
      </w:r>
    </w:p>
    <w:p w14:paraId="0A6724F3"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f) Internet: Durante mayo se avanzó en el análisis de los ajustes respecto de la versión aprobada en la etapa de estructuración. Una vez concluido el análisis, se inició el proceso de reestructuración de los TdR. Se espera reabrir el proceso competitivo abierto durante la segunda semana de junio de 2026.</w:t>
      </w:r>
    </w:p>
    <w:p w14:paraId="320127DD" w14:textId="77777777" w:rsidR="00130B83" w:rsidRPr="001B6C68" w:rsidRDefault="00130B83" w:rsidP="00E2246A">
      <w:pPr>
        <w:rPr>
          <w:rFonts w:ascii="Arial Narrow" w:hAnsi="Arial Narrow"/>
          <w:sz w:val="21"/>
          <w:szCs w:val="21"/>
        </w:rPr>
      </w:pPr>
    </w:p>
    <w:p w14:paraId="71631BDA"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Alertas y puntos de atención — mayo 2026</w:t>
      </w:r>
    </w:p>
    <w:p w14:paraId="023080D8"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El informe de mayo identificó dos alertas críticas relacionadas con la aprobación de los diseños técnicos del sistema solar y con el riesgo de desplazamiento del plazo contractual:</w:t>
      </w:r>
    </w:p>
    <w:tbl>
      <w:tblPr>
        <w:tblW w:w="896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400"/>
        <w:gridCol w:w="4000"/>
        <w:gridCol w:w="4560"/>
      </w:tblGrid>
      <w:tr w:rsidR="00542C62" w:rsidRPr="001B6C68" w14:paraId="3BAE6835" w14:textId="77777777">
        <w:tc>
          <w:tcPr>
            <w:tcW w:w="4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19CBA1AF"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w:t>
            </w:r>
          </w:p>
        </w:tc>
        <w:tc>
          <w:tcPr>
            <w:tcW w:w="40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3406676E"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Alerta</w:t>
            </w:r>
          </w:p>
        </w:tc>
        <w:tc>
          <w:tcPr>
            <w:tcW w:w="456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74BAC1EC"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Descripción / Plan de contingencia</w:t>
            </w:r>
          </w:p>
        </w:tc>
      </w:tr>
      <w:tr w:rsidR="00542C62" w:rsidRPr="001B6C68" w14:paraId="6D773A96" w14:textId="77777777">
        <w:tc>
          <w:tcPr>
            <w:tcW w:w="4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2CE07B44"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i</w:t>
            </w:r>
          </w:p>
        </w:tc>
        <w:tc>
          <w:tcPr>
            <w:tcW w:w="4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3AE5BA84"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Atraso en la aprobación de los diseños técnicos del sistema solar en cubierta — ambos CEFE</w:t>
            </w:r>
          </w:p>
        </w:tc>
        <w:tc>
          <w:tcPr>
            <w:tcW w:w="45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1A31397D"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Los diseños se esperaban aprobados el 27 de abril (Tunal) y el 21 de abril (San Cristóbal). Al corte del informe, ambos conjuntos de documentos se encuentran entregados y en espera de pronunciamiento formal de las entidades. Plan de contingencia: gestión permanente de GEB Enlaza con IDRD y SDHT para adelantar mesas técnicas y obtener pronunciamiento formal; coordinación con ENEL para el inicio inmediato de obras en cubierta una vez se obtenga la aprobación.</w:t>
            </w:r>
          </w:p>
        </w:tc>
      </w:tr>
      <w:tr w:rsidR="00542C62" w:rsidRPr="001B6C68" w14:paraId="6A8E42B7" w14:textId="77777777">
        <w:tc>
          <w:tcPr>
            <w:tcW w:w="4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120F85F4" w14:textId="77777777" w:rsidR="00542C62" w:rsidRPr="001B6C68" w:rsidRDefault="004B1850">
            <w:pPr>
              <w:spacing w:before="40" w:after="40"/>
              <w:jc w:val="left"/>
              <w:rPr>
                <w:rFonts w:ascii="Arial Narrow" w:hAnsi="Arial Narrow"/>
                <w:sz w:val="21"/>
                <w:szCs w:val="21"/>
              </w:rPr>
            </w:pPr>
            <w:proofErr w:type="spellStart"/>
            <w:r w:rsidRPr="001B6C68">
              <w:rPr>
                <w:rFonts w:ascii="Arial Narrow" w:hAnsi="Arial Narrow"/>
                <w:color w:val="000000"/>
                <w:sz w:val="21"/>
                <w:szCs w:val="21"/>
              </w:rPr>
              <w:t>ii</w:t>
            </w:r>
            <w:proofErr w:type="spellEnd"/>
          </w:p>
        </w:tc>
        <w:tc>
          <w:tcPr>
            <w:tcW w:w="40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7892A60C"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Riesgo de desplazamiento del plazo contractual</w:t>
            </w:r>
          </w:p>
        </w:tc>
        <w:tc>
          <w:tcPr>
            <w:tcW w:w="456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2CF91458"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 xml:space="preserve">Los dos CEFE presentan desviaciones negativas de -19% (Tunal) y -18% (San Cristóbal). La causa raíz señalada por GEB Enlaza es la demora en el cierre de los diseños del componente solar. Sin inicio inmediato </w:t>
            </w:r>
            <w:r w:rsidRPr="001B6C68">
              <w:rPr>
                <w:rFonts w:ascii="Arial Narrow" w:hAnsi="Arial Narrow"/>
                <w:color w:val="000000"/>
                <w:sz w:val="21"/>
                <w:szCs w:val="21"/>
              </w:rPr>
              <w:lastRenderedPageBreak/>
              <w:t>de la instalación en cubierta, el cumplimiento del plazo contractual del 12 de septiembre de 2026 enfrenta riesgo real. Plan de contingencia: gestión ante SDHT e IDRD para la aprobación urgente de los diseños técnicos; seguimiento semanal al avance con reporte de estado a todas las partes.</w:t>
            </w:r>
          </w:p>
        </w:tc>
      </w:tr>
    </w:tbl>
    <w:p w14:paraId="6EA26302" w14:textId="77777777" w:rsidR="00130B83" w:rsidRPr="001B6C68" w:rsidRDefault="00130B83" w:rsidP="00130B83">
      <w:pPr>
        <w:rPr>
          <w:rFonts w:ascii="Arial Narrow" w:hAnsi="Arial Narrow"/>
          <w:sz w:val="21"/>
          <w:szCs w:val="21"/>
        </w:rPr>
      </w:pPr>
    </w:p>
    <w:p w14:paraId="66BD3F95" w14:textId="77777777" w:rsidR="00542C62" w:rsidRPr="003A6CF2" w:rsidRDefault="004B1850" w:rsidP="00130B83">
      <w:pPr>
        <w:spacing w:after="60"/>
        <w:jc w:val="left"/>
        <w:rPr>
          <w:rFonts w:ascii="Arial Narrow" w:hAnsi="Arial Narrow"/>
          <w:color w:val="000000" w:themeColor="text1"/>
          <w:sz w:val="21"/>
          <w:szCs w:val="21"/>
        </w:rPr>
      </w:pPr>
      <w:r w:rsidRPr="003A6CF2">
        <w:rPr>
          <w:rFonts w:ascii="Arial Narrow" w:hAnsi="Arial Narrow"/>
          <w:color w:val="000000" w:themeColor="text1"/>
          <w:sz w:val="21"/>
          <w:szCs w:val="21"/>
          <w:lang w:val="es-CO"/>
        </w:rPr>
        <w:t>Resolución de alertas de abril / Estado en mayo 2026</w:t>
      </w:r>
    </w:p>
    <w:tbl>
      <w:tblPr>
        <w:tblW w:w="996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3200"/>
        <w:gridCol w:w="4200"/>
        <w:gridCol w:w="2560"/>
      </w:tblGrid>
      <w:tr w:rsidR="00542C62" w:rsidRPr="001B6C68" w14:paraId="6EC90ACD" w14:textId="77777777" w:rsidTr="77D38289">
        <w:tc>
          <w:tcPr>
            <w:tcW w:w="32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053D1AB6"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Alerta de abril 2026</w:t>
            </w:r>
          </w:p>
        </w:tc>
        <w:tc>
          <w:tcPr>
            <w:tcW w:w="42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14367AF5"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Actualización en mayo 2026</w:t>
            </w:r>
          </w:p>
        </w:tc>
        <w:tc>
          <w:tcPr>
            <w:tcW w:w="256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0917BD62"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Estado</w:t>
            </w:r>
          </w:p>
        </w:tc>
      </w:tr>
      <w:tr w:rsidR="00542C62" w:rsidRPr="001B6C68" w14:paraId="606B53A4" w14:textId="77777777" w:rsidTr="77D38289">
        <w:tc>
          <w:tcPr>
            <w:tcW w:w="32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31B04F23"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Diseños definitivos Internet — CEFE Tunal</w:t>
            </w:r>
          </w:p>
        </w:tc>
        <w:tc>
          <w:tcPr>
            <w:tcW w:w="42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53D8C482"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Durante mayo se avanzó en el análisis de ajustes respecto de la versión aprobada en estructuración; se inició la reestructuración de los TdR. Reapertura del proceso competitivo estimada para la segunda semana de junio de 2026.</w:t>
            </w:r>
          </w:p>
        </w:tc>
        <w:tc>
          <w:tcPr>
            <w:tcW w:w="25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3DF7A46A"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1A7A1A"/>
                <w:sz w:val="21"/>
                <w:szCs w:val="21"/>
              </w:rPr>
              <w:t>EN SEGUIMIENTO</w:t>
            </w:r>
          </w:p>
        </w:tc>
      </w:tr>
      <w:tr w:rsidR="00542C62" w:rsidRPr="001B6C68" w14:paraId="3889BA98" w14:textId="77777777" w:rsidTr="77D38289">
        <w:tc>
          <w:tcPr>
            <w:tcW w:w="3200"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80" w:type="dxa"/>
              <w:left w:w="120" w:type="dxa"/>
              <w:bottom w:w="80" w:type="dxa"/>
              <w:right w:w="120" w:type="dxa"/>
            </w:tcMar>
            <w:vAlign w:val="center"/>
          </w:tcPr>
          <w:p w14:paraId="1074B251"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Diseños iluminación cancha — CEFE San Cristóbal</w:t>
            </w:r>
          </w:p>
        </w:tc>
        <w:tc>
          <w:tcPr>
            <w:tcW w:w="4200" w:type="dxa"/>
            <w:tcBorders>
              <w:top w:val="single" w:sz="4" w:space="0" w:color="AAAAAA"/>
              <w:left w:val="single" w:sz="4" w:space="0" w:color="AAAAAA"/>
              <w:bottom w:val="single" w:sz="4" w:space="0" w:color="AAAAAA"/>
              <w:right w:val="single" w:sz="4" w:space="0" w:color="AAAAAA"/>
            </w:tcBorders>
            <w:shd w:val="clear" w:color="auto" w:fill="FFFFFF" w:themeFill="background1"/>
            <w:tcMar>
              <w:top w:w="80" w:type="dxa"/>
              <w:left w:w="120" w:type="dxa"/>
              <w:bottom w:w="80" w:type="dxa"/>
              <w:right w:w="120" w:type="dxa"/>
            </w:tcMar>
            <w:vAlign w:val="center"/>
          </w:tcPr>
          <w:p w14:paraId="67E98AF1"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Durante mayo se inició la revisión de ajustes y la reestructuración de los TdR. Reapertura del proceso competitivo estimada para la tercera semana de junio de 2026.</w:t>
            </w:r>
          </w:p>
        </w:tc>
        <w:tc>
          <w:tcPr>
            <w:tcW w:w="25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05841E44"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1A7A1A"/>
                <w:sz w:val="21"/>
                <w:szCs w:val="21"/>
              </w:rPr>
              <w:t>EN SEGUIMIENTO</w:t>
            </w:r>
          </w:p>
        </w:tc>
      </w:tr>
      <w:tr w:rsidR="00542C62" w:rsidRPr="001B6C68" w14:paraId="033BE381" w14:textId="77777777" w:rsidTr="77D38289">
        <w:tc>
          <w:tcPr>
            <w:tcW w:w="32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16C83349"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Aprobación ingeniería componente solar por IDRD/SDHT para inicio en cubierta</w:t>
            </w:r>
          </w:p>
        </w:tc>
        <w:tc>
          <w:tcPr>
            <w:tcW w:w="42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196437BC"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Ingeniería con 90% de avance en ambos CEFE, entregada para revisión. Los plazos previstos de aprobación (27/04 Tunal, 21/04 San Cristóbal) se encuentran vencidos sin pronunciamiento formal. Sin esta aprobación no es posible iniciar la instalación de módulos en cubierta, componente crítico de ruta.</w:t>
            </w:r>
          </w:p>
        </w:tc>
        <w:tc>
          <w:tcPr>
            <w:tcW w:w="25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34BAF453"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1A7A1A"/>
                <w:sz w:val="21"/>
                <w:szCs w:val="21"/>
              </w:rPr>
              <w:t>CRÍTICO</w:t>
            </w:r>
          </w:p>
        </w:tc>
      </w:tr>
    </w:tbl>
    <w:p w14:paraId="2B938D0D" w14:textId="77777777" w:rsidR="00130B83" w:rsidRPr="001B6C68" w:rsidRDefault="00130B83" w:rsidP="00130B83">
      <w:pPr>
        <w:rPr>
          <w:rFonts w:ascii="Arial Narrow" w:hAnsi="Arial Narrow"/>
          <w:sz w:val="21"/>
          <w:szCs w:val="21"/>
        </w:rPr>
      </w:pPr>
    </w:p>
    <w:p w14:paraId="5697069D" w14:textId="77777777" w:rsidR="00130B83" w:rsidRPr="003A6CF2" w:rsidRDefault="004B1850" w:rsidP="00130B83">
      <w:pPr>
        <w:spacing w:before="160" w:after="80"/>
        <w:jc w:val="left"/>
        <w:rPr>
          <w:rFonts w:ascii="Arial Narrow" w:hAnsi="Arial Narrow"/>
          <w:color w:val="31849B" w:themeColor="accent5" w:themeShade="BF"/>
          <w:sz w:val="21"/>
          <w:szCs w:val="21"/>
          <w:lang w:val="es-CO"/>
        </w:rPr>
      </w:pPr>
      <w:r w:rsidRPr="003A6CF2">
        <w:rPr>
          <w:rFonts w:ascii="Arial Narrow" w:hAnsi="Arial Narrow"/>
          <w:color w:val="31849B" w:themeColor="accent5" w:themeShade="BF"/>
          <w:sz w:val="21"/>
          <w:szCs w:val="21"/>
          <w:lang w:val="es-CO"/>
        </w:rPr>
        <w:t>4.2.5 Observaciones de la SDHT al Informe de Mayo — Oficio SDH 2-2026-46452 del 30 de junio de 2026</w:t>
      </w:r>
    </w:p>
    <w:p w14:paraId="7AE58C2C"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 xml:space="preserve">Mediante oficio SDH 2-2026-46452 del 30 de junio de 2026, dirigido al Grupo Energía Bogotá (con referencia al radicado de origen GEB 1-2026-31175 del 5 de junio de 2026), la Dirección de Servicios Públicos de la SDHT formuló </w:t>
      </w:r>
      <w:r w:rsidRPr="003A6CF2">
        <w:rPr>
          <w:rFonts w:ascii="Arial Narrow" w:hAnsi="Arial Narrow"/>
          <w:color w:val="000000" w:themeColor="text1"/>
          <w:sz w:val="21"/>
          <w:szCs w:val="21"/>
          <w:lang w:val="es-CO"/>
        </w:rPr>
        <w:lastRenderedPageBreak/>
        <w:t>las siguientes observaciones y recomendaciones al Informe Mensual de Seguimiento de mayo de 2026, con el propósito de fortalecer la trazabilidad de la información reportada y facilitar los procesos de control y verificación:</w:t>
      </w:r>
    </w:p>
    <w:p w14:paraId="533F7DB4" w14:textId="77777777" w:rsidR="00130B83" w:rsidRPr="003A6CF2" w:rsidRDefault="00130B83" w:rsidP="00E2246A">
      <w:pPr>
        <w:spacing w:after="60"/>
        <w:rPr>
          <w:rFonts w:ascii="Arial Narrow" w:hAnsi="Arial Narrow"/>
          <w:b/>
          <w:bCs/>
          <w:color w:val="000000" w:themeColor="text1"/>
          <w:sz w:val="21"/>
          <w:szCs w:val="21"/>
        </w:rPr>
      </w:pPr>
      <w:r w:rsidRPr="003A6CF2">
        <w:rPr>
          <w:rFonts w:ascii="Arial Narrow" w:hAnsi="Arial Narrow"/>
          <w:b/>
          <w:bCs/>
          <w:color w:val="000000" w:themeColor="text1"/>
          <w:sz w:val="21"/>
          <w:szCs w:val="21"/>
          <w:lang w:val="es-CO"/>
        </w:rPr>
        <w:t>1. Observación sobre el análisis de retrasos del proyecto</w:t>
      </w:r>
    </w:p>
    <w:p w14:paraId="45C636AF"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El informe de mayo atribuye el atraso de los frentes CEFE Tunal y CEFE San Cristóbal a la falta de aprobación formal de los diseños técnicos del sistema solar fotovoltaico, señalando este aspecto como la causa principal de las desviaciones negativas registradas en el cronograma. La SDHT precisó que el retraso no obedece exclusivamente al tiempo de aprobación de los diseños por parte de las entidades participantes, toda vez que dicha demora obedece a la entrega incompleta, extemporánea y con sucesivas subsanaciones de la información técnica por parte del Contribuyente (GEB Enlaza), conforme al siguiente detalle cronológico:</w:t>
      </w:r>
    </w:p>
    <w:tbl>
      <w:tblPr>
        <w:tblW w:w="896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651"/>
        <w:gridCol w:w="3104"/>
        <w:gridCol w:w="2591"/>
        <w:gridCol w:w="2614"/>
      </w:tblGrid>
      <w:tr w:rsidR="00542C62" w:rsidRPr="001B6C68" w14:paraId="07A7B48E" w14:textId="77777777">
        <w:tc>
          <w:tcPr>
            <w:tcW w:w="4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602CBEAD"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FFFFFF"/>
                <w:sz w:val="18"/>
                <w:szCs w:val="18"/>
              </w:rPr>
              <w:t>Fecha</w:t>
            </w:r>
          </w:p>
        </w:tc>
        <w:tc>
          <w:tcPr>
            <w:tcW w:w="32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2F9BCA4A"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FFFFFF"/>
                <w:sz w:val="18"/>
                <w:szCs w:val="18"/>
              </w:rPr>
              <w:t>Actuación / Comunicación</w:t>
            </w:r>
          </w:p>
        </w:tc>
        <w:tc>
          <w:tcPr>
            <w:tcW w:w="268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06AC51C0"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FFFFFF"/>
                <w:sz w:val="18"/>
                <w:szCs w:val="18"/>
              </w:rPr>
              <w:t>Radicado</w:t>
            </w:r>
          </w:p>
        </w:tc>
        <w:tc>
          <w:tcPr>
            <w:tcW w:w="268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1BC8F690"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FFFFFF"/>
                <w:sz w:val="18"/>
                <w:szCs w:val="18"/>
              </w:rPr>
              <w:t>Descripción</w:t>
            </w:r>
          </w:p>
        </w:tc>
      </w:tr>
      <w:tr w:rsidR="00542C62" w:rsidRPr="001B6C68" w14:paraId="414E4595" w14:textId="77777777">
        <w:tc>
          <w:tcPr>
            <w:tcW w:w="4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47C64E94"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17 abr. 2026</w:t>
            </w:r>
          </w:p>
        </w:tc>
        <w:tc>
          <w:tcPr>
            <w:tcW w:w="3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1DC156F0"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Oficio de solicitud de información suficiente para análisis de modificaciones</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1D31007E"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SDH 2-2026-23895</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7BECAA4D"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Se solicita formalmente la totalidad de la información técnica (planos, memorias de cálculo, fichas técnicas, manuales, certificados UL 2703 y RETIE) necesaria para validar los ajustes al proyecto, en cumplimiento del MOMOI. Se advierte que sin dicha información no es posible aprobar los diseños.</w:t>
            </w:r>
          </w:p>
        </w:tc>
      </w:tr>
      <w:tr w:rsidR="00542C62" w:rsidRPr="001B6C68" w14:paraId="29D95E45" w14:textId="77777777">
        <w:tc>
          <w:tcPr>
            <w:tcW w:w="4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72D03779"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4 may. 2026</w:t>
            </w:r>
          </w:p>
        </w:tc>
        <w:tc>
          <w:tcPr>
            <w:tcW w:w="32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38ED0EB3"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GEB Enlaza remite ingeniería de detalle del SSFV para CEFE San Cristóbal (versión 4 del 20 de abril de 2026)</w:t>
            </w:r>
          </w:p>
        </w:tc>
        <w:tc>
          <w:tcPr>
            <w:tcW w:w="268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7959B886"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GEB 1-2026-23150</w:t>
            </w:r>
          </w:p>
        </w:tc>
        <w:tc>
          <w:tcPr>
            <w:tcW w:w="268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0208E22C"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Se remiten planos, pero aún sin los manuales, certificados UL 2703 y RETIE requeridos.</w:t>
            </w:r>
          </w:p>
        </w:tc>
      </w:tr>
      <w:tr w:rsidR="00542C62" w:rsidRPr="001B6C68" w14:paraId="7C80A279" w14:textId="77777777">
        <w:tc>
          <w:tcPr>
            <w:tcW w:w="4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13023DF6"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20 may. 2026</w:t>
            </w:r>
          </w:p>
        </w:tc>
        <w:tc>
          <w:tcPr>
            <w:tcW w:w="3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580FB605"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Oficio de respuesta a radicado 1-2026-23150 (ingeniería San Cristóbal)</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6DC6CBBC"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SDH 2-2026-33144</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7E82D70A"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Se reitera la solicitud de manuales y certificados UL 2703 y RETIE, y se formulan observaciones técnicas sobre voladizos de 0,88 m, advirtiendo que no pueden aceptarse sin la documentación de soporte. Se otorga plazo de cinco (5) días hábiles.</w:t>
            </w:r>
          </w:p>
        </w:tc>
      </w:tr>
      <w:tr w:rsidR="00542C62" w:rsidRPr="001B6C68" w14:paraId="7686AF0A" w14:textId="77777777">
        <w:tc>
          <w:tcPr>
            <w:tcW w:w="4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6DE6084C"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20 may. 2026</w:t>
            </w:r>
          </w:p>
        </w:tc>
        <w:tc>
          <w:tcPr>
            <w:tcW w:w="32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2CD92DB1"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Oficio de respuesta a radicado 1-2026-24407 (informe de abril)</w:t>
            </w:r>
          </w:p>
        </w:tc>
        <w:tc>
          <w:tcPr>
            <w:tcW w:w="268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22BAB04D"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SDH 2-2026-33142</w:t>
            </w:r>
          </w:p>
        </w:tc>
        <w:tc>
          <w:tcPr>
            <w:tcW w:w="268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6F0A3B02"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 xml:space="preserve">Se formulan observaciones al informe de abril, solicitando información complementaria sobre </w:t>
            </w:r>
            <w:r w:rsidRPr="001B6C68">
              <w:rPr>
                <w:rFonts w:ascii="Arial Narrow" w:hAnsi="Arial Narrow"/>
                <w:color w:val="000000"/>
                <w:sz w:val="18"/>
                <w:szCs w:val="18"/>
              </w:rPr>
              <w:lastRenderedPageBreak/>
              <w:t>almacenamiento de paneles, excavaciones y gestión ambiental.</w:t>
            </w:r>
          </w:p>
        </w:tc>
      </w:tr>
      <w:tr w:rsidR="00542C62" w:rsidRPr="001B6C68" w14:paraId="1916EC02" w14:textId="77777777">
        <w:tc>
          <w:tcPr>
            <w:tcW w:w="4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27F60174"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lastRenderedPageBreak/>
              <w:t>25 may. 2026</w:t>
            </w:r>
          </w:p>
        </w:tc>
        <w:tc>
          <w:tcPr>
            <w:tcW w:w="3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23A28B7F"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GEB Enlaza remite documentación técnica adicional</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2DCE3E23"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GEB 1-2026-27796 (SDH 1-2026-28109)</w:t>
            </w:r>
          </w:p>
        </w:tc>
        <w:tc>
          <w:tcPr>
            <w:tcW w:w="268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5C3284A1"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Se remite información de planos y memorias de cálculo, aún sin la totalidad de los documentos requeridos (faltan manuales, certificados y firmas de profesionales).</w:t>
            </w:r>
          </w:p>
        </w:tc>
      </w:tr>
      <w:tr w:rsidR="00542C62" w:rsidRPr="001B6C68" w14:paraId="7B522EAB" w14:textId="77777777">
        <w:tc>
          <w:tcPr>
            <w:tcW w:w="4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1F68C233"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3 jun. 2026</w:t>
            </w:r>
          </w:p>
        </w:tc>
        <w:tc>
          <w:tcPr>
            <w:tcW w:w="32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10EEDE38" w14:textId="77777777" w:rsidR="00542C62" w:rsidRPr="001B6C68" w:rsidRDefault="004B1850">
            <w:pPr>
              <w:spacing w:before="40" w:after="40"/>
              <w:jc w:val="left"/>
              <w:rPr>
                <w:rFonts w:ascii="Arial Narrow" w:hAnsi="Arial Narrow"/>
                <w:sz w:val="18"/>
                <w:szCs w:val="18"/>
              </w:rPr>
            </w:pPr>
            <w:r w:rsidRPr="001B6C68">
              <w:rPr>
                <w:rFonts w:ascii="Arial Narrow" w:hAnsi="Arial Narrow"/>
                <w:color w:val="000000"/>
                <w:sz w:val="18"/>
                <w:szCs w:val="18"/>
              </w:rPr>
              <w:t>Oficio de respuesta a radicado 1-2026-27796 (avance obras CEFES)</w:t>
            </w:r>
          </w:p>
        </w:tc>
        <w:tc>
          <w:tcPr>
            <w:tcW w:w="268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36CFCCF5"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SDH 2-2026-37268</w:t>
            </w:r>
          </w:p>
        </w:tc>
        <w:tc>
          <w:tcPr>
            <w:tcW w:w="268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5CF698D6" w14:textId="77777777" w:rsidR="00542C62" w:rsidRPr="001B6C68" w:rsidRDefault="004B1850">
            <w:pPr>
              <w:spacing w:before="40" w:after="40"/>
              <w:jc w:val="center"/>
              <w:rPr>
                <w:rFonts w:ascii="Arial Narrow" w:hAnsi="Arial Narrow"/>
                <w:sz w:val="18"/>
                <w:szCs w:val="18"/>
              </w:rPr>
            </w:pPr>
            <w:r w:rsidRPr="001B6C68">
              <w:rPr>
                <w:rFonts w:ascii="Arial Narrow" w:hAnsi="Arial Narrow"/>
                <w:color w:val="000000"/>
                <w:sz w:val="18"/>
                <w:szCs w:val="18"/>
              </w:rPr>
              <w:t>Se formulan observaciones técnicas detalladas sobre planos de fijaciones, cableado, diagramas unifilares y cortes, y se reitera la falta de información técnica de anclajes y la ausencia de firmas de profesionales responsables.</w:t>
            </w:r>
          </w:p>
        </w:tc>
      </w:tr>
    </w:tbl>
    <w:p w14:paraId="1AD549AA"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La SDHT precisó que ha actuado de manera oportuna y diligente, solicitando formalmente la información necesaria desde el 17 de abril de 2026 y reiterándola en múltiples ocasiones (oficios 2-2026-33144, 2-2026-33142 y 2-2026-37268), además de adelantar diversas mesas de trabajo para dar alcance a las observaciones formuladas. Aclaró que las demoras en la aprobación de los diseños obedecen única y exclusivamente a que el Contribuyente ha solicitado ajustes a la ingeniería de detalle producto de la optimización del proyecto, y recomendó ajustar el análisis consignado en los numerales de alertas, riesgos y conclusiones del informe mensual, de manera que refleje integralmente estas causas.</w:t>
      </w:r>
    </w:p>
    <w:p w14:paraId="0377B5AF" w14:textId="77777777" w:rsidR="00130B83" w:rsidRPr="003A6CF2" w:rsidRDefault="00130B83" w:rsidP="00E2246A">
      <w:pPr>
        <w:spacing w:after="60"/>
        <w:rPr>
          <w:rFonts w:ascii="Arial Narrow" w:hAnsi="Arial Narrow"/>
          <w:b/>
          <w:bCs/>
          <w:color w:val="000000" w:themeColor="text1"/>
          <w:sz w:val="21"/>
          <w:szCs w:val="21"/>
        </w:rPr>
      </w:pPr>
      <w:r w:rsidRPr="003A6CF2">
        <w:rPr>
          <w:rFonts w:ascii="Arial Narrow" w:hAnsi="Arial Narrow"/>
          <w:b/>
          <w:bCs/>
          <w:color w:val="000000" w:themeColor="text1"/>
          <w:sz w:val="21"/>
          <w:szCs w:val="21"/>
          <w:lang w:val="es-CO"/>
        </w:rPr>
        <w:t>2. Gestión ambiental — evento por ruptura de tubería en CEFE Tunal</w:t>
      </w:r>
    </w:p>
    <w:p w14:paraId="2281B386"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Respecto del evento ambiental reportado en el CEFE Tunal (ruptura accidental de tubería de agua potable durante excavación, con pérdida aproximada de 6.426 litros), la SDHT recomendó complementar el análisis de causas del incidente y validar con el IDRD la disponibilidad de información sobre redes existentes, con el fin de evitar futuros incidentes y reducir el riesgo de afectaciones a las redes de servicios públicos durante la planificación de actividades constructivas.</w:t>
      </w:r>
    </w:p>
    <w:p w14:paraId="64D0D0F4" w14:textId="77777777" w:rsidR="00130B83" w:rsidRPr="003A6CF2" w:rsidRDefault="00130B83" w:rsidP="00E2246A">
      <w:pPr>
        <w:spacing w:after="60"/>
        <w:rPr>
          <w:rFonts w:ascii="Arial Narrow" w:hAnsi="Arial Narrow"/>
          <w:b/>
          <w:bCs/>
          <w:color w:val="000000" w:themeColor="text1"/>
          <w:sz w:val="21"/>
          <w:szCs w:val="21"/>
        </w:rPr>
      </w:pPr>
      <w:r w:rsidRPr="003A6CF2">
        <w:rPr>
          <w:rFonts w:ascii="Arial Narrow" w:hAnsi="Arial Narrow"/>
          <w:b/>
          <w:bCs/>
          <w:color w:val="000000" w:themeColor="text1"/>
          <w:sz w:val="21"/>
          <w:szCs w:val="21"/>
          <w:lang w:val="es-CO"/>
        </w:rPr>
        <w:t>3–7. Soportes documentales de la gestión ambiental</w:t>
      </w:r>
    </w:p>
    <w:p w14:paraId="39ED001A"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 xml:space="preserve">La SDHT recomendó que las medidas de manejo ambiental descritas en el informe cuenten con soportes fotográficos y documentales suficientes para verificar su implementación, en particular: (i) evidencia fotográfica del área de almacenamiento de herramientas y equipos, del cerramiento o protección de sumideros en CEFE Tunal, del centro de acopio de residuos con su señalética, y de los sistemas de almacenamiento temporal de RESPEL con mecanismos </w:t>
      </w:r>
      <w:r w:rsidRPr="003A6CF2">
        <w:rPr>
          <w:rFonts w:ascii="Arial Narrow" w:hAnsi="Arial Narrow"/>
          <w:color w:val="000000" w:themeColor="text1"/>
          <w:sz w:val="21"/>
          <w:szCs w:val="21"/>
          <w:lang w:val="es-CO"/>
        </w:rPr>
        <w:lastRenderedPageBreak/>
        <w:t>de contención secundaria (bandejas antiderrames o equivalentes); (ii) registros del isotanque utilizado para actividades constructivas y soportes que acrediten el origen legal del agua empleada en obra; (iii) documentación de las autorizaciones ambientales vigentes de Distribuidores Ambientales S.A.S. (D3A) para transporte, aprovechamiento, tratamiento y disposición final de residuos peligrosos; y (iv) el Plan de Gestión Integral de Residuos de la obra, actualizado y articulado con las actividades de ambos frentes de trabajo.</w:t>
      </w:r>
    </w:p>
    <w:p w14:paraId="5429A8A8" w14:textId="77777777" w:rsidR="00130B83" w:rsidRPr="003A6CF2" w:rsidRDefault="00130B83" w:rsidP="00E2246A">
      <w:pPr>
        <w:spacing w:after="60"/>
        <w:rPr>
          <w:rFonts w:ascii="Arial Narrow" w:hAnsi="Arial Narrow"/>
          <w:b/>
          <w:bCs/>
          <w:color w:val="000000" w:themeColor="text1"/>
          <w:sz w:val="21"/>
          <w:szCs w:val="21"/>
        </w:rPr>
      </w:pPr>
      <w:r w:rsidRPr="003A6CF2">
        <w:rPr>
          <w:rFonts w:ascii="Arial Narrow" w:hAnsi="Arial Narrow"/>
          <w:b/>
          <w:bCs/>
          <w:color w:val="000000" w:themeColor="text1"/>
          <w:sz w:val="21"/>
          <w:szCs w:val="21"/>
          <w:lang w:val="es-CO"/>
        </w:rPr>
        <w:t>8. Conclusión de la SDHT</w:t>
      </w:r>
    </w:p>
    <w:p w14:paraId="5D380C3F" w14:textId="77777777" w:rsidR="00542C62" w:rsidRPr="003A6CF2" w:rsidRDefault="004B1850" w:rsidP="00E2246A">
      <w:pPr>
        <w:spacing w:after="60"/>
        <w:rPr>
          <w:rFonts w:ascii="Arial Narrow" w:hAnsi="Arial Narrow"/>
          <w:color w:val="000000" w:themeColor="text1"/>
          <w:sz w:val="21"/>
          <w:szCs w:val="21"/>
        </w:rPr>
      </w:pPr>
      <w:r w:rsidRPr="003A6CF2">
        <w:rPr>
          <w:rFonts w:ascii="Arial Narrow" w:hAnsi="Arial Narrow"/>
          <w:color w:val="000000" w:themeColor="text1"/>
          <w:sz w:val="21"/>
          <w:szCs w:val="21"/>
          <w:lang w:val="es-CO"/>
        </w:rPr>
        <w:t>La SDHT concluyó que, si bien el informe de mayo evidencia avances en la implementación de medidas ambientales, capacitaciones, gestión de residuos y cumplimiento de permisos ambientales vigentes, se requiere incorporar los soportes documentales señalados y ajustar el análisis de las causas del atraso del proyecto, incorporando de manera objetiva la incidencia del proceso de ajuste de la información técnica y las subsanaciones requeridas al Contribuyente, con el fin de reflejar con precisión la situación actual del proyecto y facilitar la toma de decisiones durante el seguimiento contractual.</w:t>
      </w:r>
    </w:p>
    <w:p w14:paraId="4A3AB736" w14:textId="77777777" w:rsidR="00130B83" w:rsidRPr="001B6C68" w:rsidRDefault="00130B83" w:rsidP="00130B83">
      <w:pPr>
        <w:rPr>
          <w:rFonts w:ascii="Arial Narrow" w:hAnsi="Arial Narrow"/>
          <w:sz w:val="21"/>
          <w:szCs w:val="21"/>
        </w:rPr>
      </w:pPr>
    </w:p>
    <w:p w14:paraId="124D32B5" w14:textId="3939C1BC" w:rsidR="00542C62" w:rsidRPr="001B6C68" w:rsidRDefault="004B1850" w:rsidP="00BE70C3">
      <w:pPr>
        <w:pBdr>
          <w:bottom w:val="single" w:sz="8" w:space="4" w:color="2E5D8E"/>
        </w:pBdr>
        <w:shd w:val="clear" w:color="auto" w:fill="EBF2FA"/>
        <w:spacing w:before="280"/>
        <w:jc w:val="left"/>
        <w:rPr>
          <w:rFonts w:ascii="Arial Narrow" w:hAnsi="Arial Narrow"/>
          <w:sz w:val="21"/>
          <w:szCs w:val="21"/>
        </w:rPr>
      </w:pPr>
      <w:r w:rsidRPr="001B6C68">
        <w:rPr>
          <w:rFonts w:ascii="Arial Narrow" w:hAnsi="Arial Narrow"/>
          <w:color w:val="2E5D8E"/>
          <w:sz w:val="21"/>
          <w:szCs w:val="21"/>
          <w:lang w:val="es-CO"/>
        </w:rPr>
        <w:t>V. SEGUIMIENTO AL COMPONENTE DE COMUNIDADES ENERGÉTICAS</w:t>
      </w:r>
    </w:p>
    <w:p w14:paraId="369F0998" w14:textId="77777777" w:rsidR="00542C62" w:rsidRPr="00BE70C3" w:rsidRDefault="004B1850">
      <w:pPr>
        <w:spacing w:before="200" w:after="100"/>
        <w:jc w:val="left"/>
        <w:rPr>
          <w:rFonts w:ascii="Arial Narrow" w:hAnsi="Arial Narrow"/>
          <w:b/>
          <w:bCs/>
          <w:sz w:val="21"/>
          <w:szCs w:val="21"/>
        </w:rPr>
      </w:pPr>
      <w:r w:rsidRPr="00BE70C3">
        <w:rPr>
          <w:rFonts w:ascii="Arial Narrow" w:hAnsi="Arial Narrow"/>
          <w:b/>
          <w:bCs/>
          <w:color w:val="2E5D8E"/>
          <w:sz w:val="21"/>
          <w:szCs w:val="21"/>
          <w:lang w:val="es-CO"/>
        </w:rPr>
        <w:t>5.1 Contexto general</w:t>
      </w:r>
    </w:p>
    <w:p w14:paraId="0E3FDCC5" w14:textId="3FE45A0C" w:rsidR="00542C62" w:rsidRPr="001B6C68" w:rsidRDefault="004B1850">
      <w:pPr>
        <w:spacing w:before="100" w:after="100"/>
        <w:rPr>
          <w:rFonts w:ascii="Arial Narrow" w:hAnsi="Arial Narrow"/>
          <w:sz w:val="21"/>
          <w:szCs w:val="21"/>
        </w:rPr>
      </w:pPr>
      <w:r w:rsidRPr="001B6C68">
        <w:rPr>
          <w:rFonts w:ascii="Arial Narrow" w:hAnsi="Arial Narrow"/>
          <w:color w:val="000000"/>
          <w:sz w:val="21"/>
          <w:szCs w:val="21"/>
          <w:lang w:val="es-CO"/>
        </w:rPr>
        <w:t xml:space="preserve">En el marco del Convenio No. 1248-2025, el proyecto contempla la conformación de dos (2) comunidades energéticas </w:t>
      </w:r>
      <w:r w:rsidR="00130B83" w:rsidRPr="001B6C68">
        <w:rPr>
          <w:rFonts w:ascii="Arial Narrow" w:hAnsi="Arial Narrow"/>
          <w:color w:val="000000"/>
          <w:sz w:val="21"/>
          <w:szCs w:val="21"/>
          <w:lang w:val="es-CO"/>
        </w:rPr>
        <w:t>beneficiarias de la</w:t>
      </w:r>
      <w:r w:rsidRPr="001B6C68">
        <w:rPr>
          <w:rFonts w:ascii="Arial Narrow" w:hAnsi="Arial Narrow"/>
          <w:color w:val="000000"/>
          <w:sz w:val="21"/>
          <w:szCs w:val="21"/>
          <w:lang w:val="es-CO"/>
        </w:rPr>
        <w:t xml:space="preserve"> operación sostenible de los Sistemas Solares Fotovoltaicos instalados en los CEFE Tunal y San Cristóbal, con capacidad </w:t>
      </w:r>
      <w:r w:rsidRPr="001123E5">
        <w:rPr>
          <w:rFonts w:ascii="Arial Narrow" w:hAnsi="Arial Narrow"/>
          <w:color w:val="000000"/>
          <w:sz w:val="21"/>
          <w:szCs w:val="21"/>
          <w:lang w:val="es-CO"/>
        </w:rPr>
        <w:t>instalada aproximada de 1 MW cada uno</w:t>
      </w:r>
      <w:r w:rsidRPr="001B6C68">
        <w:rPr>
          <w:rFonts w:ascii="Arial Narrow" w:hAnsi="Arial Narrow"/>
          <w:color w:val="000000"/>
          <w:sz w:val="21"/>
          <w:szCs w:val="21"/>
          <w:lang w:val="es-CO"/>
        </w:rPr>
        <w:t>, conforme al Decreto 2236 de 2023, la Resolución MME 40509 de 2024 y la Resolución CREG 101-072 de 2025.</w:t>
      </w:r>
    </w:p>
    <w:p w14:paraId="43052F28" w14:textId="77777777" w:rsidR="00542C62" w:rsidRPr="001B6C68" w:rsidRDefault="00542C62">
      <w:pPr>
        <w:rPr>
          <w:rFonts w:ascii="Arial Narrow" w:hAnsi="Arial Narrow"/>
          <w:sz w:val="21"/>
          <w:szCs w:val="21"/>
        </w:rPr>
      </w:pPr>
    </w:p>
    <w:p w14:paraId="428E98C0" w14:textId="7411F6AA" w:rsidR="00542C62" w:rsidRPr="001B6C68" w:rsidRDefault="004B1850" w:rsidP="00130B83">
      <w:pPr>
        <w:spacing w:before="100" w:after="100"/>
        <w:rPr>
          <w:rFonts w:ascii="Arial Narrow" w:hAnsi="Arial Narrow"/>
          <w:sz w:val="21"/>
          <w:szCs w:val="21"/>
        </w:rPr>
      </w:pPr>
      <w:r w:rsidRPr="001B6C68">
        <w:rPr>
          <w:rFonts w:ascii="Arial Narrow" w:hAnsi="Arial Narrow"/>
          <w:color w:val="000000"/>
          <w:sz w:val="21"/>
          <w:szCs w:val="21"/>
          <w:lang w:val="es-CO"/>
        </w:rPr>
        <w:t xml:space="preserve">El programa proyecta </w:t>
      </w:r>
      <w:r w:rsidRPr="001123E5">
        <w:rPr>
          <w:rFonts w:ascii="Arial Narrow" w:hAnsi="Arial Narrow"/>
          <w:color w:val="000000"/>
          <w:sz w:val="21"/>
          <w:szCs w:val="21"/>
          <w:lang w:val="es-CO"/>
        </w:rPr>
        <w:t>beneficiar aproximadamente 1.000 viviendas por cada CEFE (2.000 hogares en total),</w:t>
      </w:r>
      <w:r w:rsidRPr="001B6C68">
        <w:rPr>
          <w:rFonts w:ascii="Arial Narrow" w:hAnsi="Arial Narrow"/>
          <w:color w:val="000000"/>
          <w:sz w:val="21"/>
          <w:szCs w:val="21"/>
          <w:lang w:val="es-CO"/>
        </w:rPr>
        <w:t xml:space="preserve"> a quienes se les reconocerá </w:t>
      </w:r>
      <w:r w:rsidRPr="001123E5">
        <w:rPr>
          <w:rFonts w:ascii="Arial Narrow" w:hAnsi="Arial Narrow"/>
          <w:color w:val="000000"/>
          <w:sz w:val="21"/>
          <w:szCs w:val="21"/>
          <w:lang w:val="es-CO"/>
        </w:rPr>
        <w:t>el equivalente al 60% del consumo de subsistencia definido por la CREG (78 kWh/mes por vivienda),</w:t>
      </w:r>
      <w:r w:rsidRPr="001B6C68">
        <w:rPr>
          <w:rFonts w:ascii="Arial Narrow" w:hAnsi="Arial Narrow"/>
          <w:color w:val="000000"/>
          <w:sz w:val="21"/>
          <w:szCs w:val="21"/>
          <w:lang w:val="es-CO"/>
        </w:rPr>
        <w:t xml:space="preserve"> reflejado como alivio económico en la factura de energía eléctrica. La iniciativa prioriza hogares en condición de vulnerabilidad </w:t>
      </w:r>
      <w:r w:rsidRPr="001123E5">
        <w:rPr>
          <w:rFonts w:ascii="Arial Narrow" w:hAnsi="Arial Narrow"/>
          <w:color w:val="000000"/>
          <w:sz w:val="21"/>
          <w:szCs w:val="21"/>
          <w:lang w:val="es-CO"/>
        </w:rPr>
        <w:t xml:space="preserve">socioeconómica (SISBÉN IV grupos A, B y C) ubicados en las localidades de Usme, San Cristóbal, Tunjuelito, Rafael Uribe </w:t>
      </w:r>
      <w:proofErr w:type="spellStart"/>
      <w:r w:rsidRPr="001123E5">
        <w:rPr>
          <w:rFonts w:ascii="Arial Narrow" w:hAnsi="Arial Narrow"/>
          <w:color w:val="000000"/>
          <w:sz w:val="21"/>
          <w:szCs w:val="21"/>
          <w:lang w:val="es-CO"/>
        </w:rPr>
        <w:t>Uribe</w:t>
      </w:r>
      <w:proofErr w:type="spellEnd"/>
      <w:r w:rsidRPr="001123E5">
        <w:rPr>
          <w:rFonts w:ascii="Arial Narrow" w:hAnsi="Arial Narrow"/>
          <w:color w:val="000000"/>
          <w:sz w:val="21"/>
          <w:szCs w:val="21"/>
          <w:lang w:val="es-CO"/>
        </w:rPr>
        <w:t xml:space="preserve"> y Sumapaz.</w:t>
      </w:r>
    </w:p>
    <w:p w14:paraId="1889FBC7" w14:textId="0E16F540" w:rsidR="00130B83" w:rsidRDefault="00130B83" w:rsidP="00130B83">
      <w:pPr>
        <w:spacing w:before="100" w:after="100"/>
        <w:rPr>
          <w:rFonts w:ascii="Arial Narrow" w:hAnsi="Arial Narrow"/>
          <w:sz w:val="21"/>
          <w:szCs w:val="21"/>
        </w:rPr>
      </w:pPr>
    </w:p>
    <w:p w14:paraId="21CB4270" w14:textId="77777777" w:rsidR="001123E5" w:rsidRPr="001B6C68" w:rsidRDefault="001123E5" w:rsidP="00130B83">
      <w:pPr>
        <w:spacing w:before="100" w:after="100"/>
        <w:rPr>
          <w:rFonts w:ascii="Arial Narrow" w:hAnsi="Arial Narrow"/>
          <w:sz w:val="21"/>
          <w:szCs w:val="21"/>
        </w:rPr>
      </w:pPr>
    </w:p>
    <w:p w14:paraId="17208C7F" w14:textId="008CC4F5" w:rsidR="00542C62" w:rsidRPr="001B6C68" w:rsidRDefault="004B1850" w:rsidP="00130B83">
      <w:pPr>
        <w:spacing w:before="200" w:after="100"/>
        <w:jc w:val="left"/>
        <w:rPr>
          <w:rFonts w:ascii="Arial Narrow" w:hAnsi="Arial Narrow"/>
          <w:sz w:val="21"/>
          <w:szCs w:val="21"/>
        </w:rPr>
      </w:pPr>
      <w:r w:rsidRPr="001B6C68">
        <w:rPr>
          <w:rFonts w:ascii="Arial Narrow" w:hAnsi="Arial Narrow"/>
          <w:color w:val="2E5D8E"/>
          <w:sz w:val="21"/>
          <w:szCs w:val="21"/>
          <w:lang w:val="es-CO"/>
        </w:rPr>
        <w:t>5.2 Estado del documento asociativo — Comunidad Energética CEFE Tunal</w:t>
      </w:r>
    </w:p>
    <w:tbl>
      <w:tblPr>
        <w:tblW w:w="896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2800"/>
        <w:gridCol w:w="4400"/>
        <w:gridCol w:w="1760"/>
      </w:tblGrid>
      <w:tr w:rsidR="00542C62" w:rsidRPr="001B6C68" w14:paraId="7A58870C" w14:textId="77777777">
        <w:tc>
          <w:tcPr>
            <w:tcW w:w="28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56BA9C8F"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lastRenderedPageBreak/>
              <w:t>Aspecto</w:t>
            </w:r>
          </w:p>
        </w:tc>
        <w:tc>
          <w:tcPr>
            <w:tcW w:w="44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5014EB2C"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Detalle</w:t>
            </w:r>
          </w:p>
        </w:tc>
        <w:tc>
          <w:tcPr>
            <w:tcW w:w="176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4D8ECCED"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Estado</w:t>
            </w:r>
          </w:p>
        </w:tc>
      </w:tr>
      <w:tr w:rsidR="00542C62" w:rsidRPr="001B6C68" w14:paraId="47D90F1A" w14:textId="77777777">
        <w:tc>
          <w:tcPr>
            <w:tcW w:w="28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3141C73B"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Nombre de la Comunidad Energética</w:t>
            </w:r>
          </w:p>
        </w:tc>
        <w:tc>
          <w:tcPr>
            <w:tcW w:w="44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4384DD41"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"Felicidad Energética El Tunal" — CEFE Tunal (IDRD)</w:t>
            </w:r>
          </w:p>
        </w:tc>
        <w:tc>
          <w:tcPr>
            <w:tcW w:w="17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5B28D0A4" w14:textId="6F0AEFDD" w:rsidR="00542C62" w:rsidRPr="001B6C68" w:rsidRDefault="00130B83">
            <w:pPr>
              <w:spacing w:before="40" w:after="40"/>
              <w:jc w:val="center"/>
              <w:rPr>
                <w:rFonts w:ascii="Arial Narrow" w:hAnsi="Arial Narrow"/>
                <w:sz w:val="21"/>
                <w:szCs w:val="21"/>
              </w:rPr>
            </w:pPr>
            <w:r w:rsidRPr="001B6C68">
              <w:rPr>
                <w:rFonts w:ascii="Arial Narrow" w:hAnsi="Arial Narrow"/>
                <w:color w:val="1A7A1A"/>
                <w:sz w:val="21"/>
                <w:szCs w:val="21"/>
              </w:rPr>
              <w:t>REALIZADO</w:t>
            </w:r>
          </w:p>
        </w:tc>
      </w:tr>
      <w:tr w:rsidR="00130B83" w:rsidRPr="001B6C68" w14:paraId="1D9AAB02" w14:textId="77777777">
        <w:tc>
          <w:tcPr>
            <w:tcW w:w="28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6D252505" w14:textId="77777777" w:rsidR="00130B83" w:rsidRPr="001B6C68" w:rsidRDefault="00130B83" w:rsidP="00130B83">
            <w:pPr>
              <w:spacing w:before="40" w:after="40"/>
              <w:jc w:val="left"/>
              <w:rPr>
                <w:rFonts w:ascii="Arial Narrow" w:hAnsi="Arial Narrow"/>
                <w:sz w:val="21"/>
                <w:szCs w:val="21"/>
              </w:rPr>
            </w:pPr>
            <w:r w:rsidRPr="001B6C68">
              <w:rPr>
                <w:rFonts w:ascii="Arial Narrow" w:hAnsi="Arial Narrow"/>
                <w:color w:val="000000"/>
                <w:sz w:val="21"/>
                <w:szCs w:val="21"/>
              </w:rPr>
              <w:t>Marco normativo</w:t>
            </w:r>
          </w:p>
        </w:tc>
        <w:tc>
          <w:tcPr>
            <w:tcW w:w="44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450A2315" w14:textId="77777777" w:rsidR="00130B83" w:rsidRPr="001B6C68" w:rsidRDefault="00130B83" w:rsidP="00130B83">
            <w:pPr>
              <w:spacing w:before="40" w:after="40"/>
              <w:jc w:val="left"/>
              <w:rPr>
                <w:rFonts w:ascii="Arial Narrow" w:hAnsi="Arial Narrow"/>
                <w:sz w:val="21"/>
                <w:szCs w:val="21"/>
              </w:rPr>
            </w:pPr>
            <w:r w:rsidRPr="001B6C68">
              <w:rPr>
                <w:rFonts w:ascii="Arial Narrow" w:hAnsi="Arial Narrow"/>
                <w:color w:val="000000"/>
                <w:sz w:val="21"/>
                <w:szCs w:val="21"/>
              </w:rPr>
              <w:t>Decreto 2236 de 2023 · Resolución MME 40509 de 2024 · Resolución CREG 101-072 de 2025.</w:t>
            </w:r>
          </w:p>
        </w:tc>
        <w:tc>
          <w:tcPr>
            <w:tcW w:w="17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tcPr>
          <w:p w14:paraId="30F0B69E" w14:textId="6805DF16" w:rsidR="00130B83" w:rsidRPr="001B6C68" w:rsidRDefault="00130B83" w:rsidP="00130B83">
            <w:pPr>
              <w:spacing w:before="40" w:after="40"/>
              <w:jc w:val="center"/>
              <w:rPr>
                <w:rFonts w:ascii="Arial Narrow" w:hAnsi="Arial Narrow"/>
                <w:sz w:val="21"/>
                <w:szCs w:val="21"/>
              </w:rPr>
            </w:pPr>
            <w:r w:rsidRPr="001B6C68">
              <w:rPr>
                <w:rFonts w:ascii="Arial Narrow" w:hAnsi="Arial Narrow"/>
                <w:color w:val="1A7A1A"/>
                <w:sz w:val="21"/>
                <w:szCs w:val="21"/>
              </w:rPr>
              <w:t>REALIZADO</w:t>
            </w:r>
          </w:p>
        </w:tc>
      </w:tr>
      <w:tr w:rsidR="00130B83" w:rsidRPr="001B6C68" w14:paraId="009187EA" w14:textId="77777777">
        <w:tc>
          <w:tcPr>
            <w:tcW w:w="28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519F3CE0" w14:textId="77777777" w:rsidR="00130B83" w:rsidRPr="001B6C68" w:rsidRDefault="00130B83" w:rsidP="00130B83">
            <w:pPr>
              <w:spacing w:before="40" w:after="40"/>
              <w:jc w:val="left"/>
              <w:rPr>
                <w:rFonts w:ascii="Arial Narrow" w:hAnsi="Arial Narrow"/>
                <w:sz w:val="21"/>
                <w:szCs w:val="21"/>
              </w:rPr>
            </w:pPr>
            <w:r w:rsidRPr="001B6C68">
              <w:rPr>
                <w:rFonts w:ascii="Arial Narrow" w:hAnsi="Arial Narrow"/>
                <w:color w:val="000000"/>
                <w:sz w:val="21"/>
                <w:szCs w:val="21"/>
              </w:rPr>
              <w:t>Partes</w:t>
            </w:r>
          </w:p>
        </w:tc>
        <w:tc>
          <w:tcPr>
            <w:tcW w:w="44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64EF2C59" w14:textId="77777777" w:rsidR="00130B83" w:rsidRPr="001B6C68" w:rsidRDefault="00130B83" w:rsidP="00130B83">
            <w:pPr>
              <w:spacing w:before="40" w:after="40"/>
              <w:jc w:val="left"/>
              <w:rPr>
                <w:rFonts w:ascii="Arial Narrow" w:hAnsi="Arial Narrow"/>
                <w:sz w:val="21"/>
                <w:szCs w:val="21"/>
              </w:rPr>
            </w:pPr>
            <w:r w:rsidRPr="001B6C68">
              <w:rPr>
                <w:rFonts w:ascii="Arial Narrow" w:hAnsi="Arial Narrow"/>
                <w:color w:val="000000"/>
                <w:sz w:val="21"/>
                <w:szCs w:val="21"/>
              </w:rPr>
              <w:t>IDRD (representante de la CE), SDHT y 1.000 personas naturales beneficiarias.</w:t>
            </w:r>
          </w:p>
        </w:tc>
        <w:tc>
          <w:tcPr>
            <w:tcW w:w="17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tcPr>
          <w:p w14:paraId="46853D68" w14:textId="3DDD6A77" w:rsidR="00130B83" w:rsidRPr="001B6C68" w:rsidRDefault="00130B83" w:rsidP="00130B83">
            <w:pPr>
              <w:spacing w:before="40" w:after="40"/>
              <w:jc w:val="center"/>
              <w:rPr>
                <w:rFonts w:ascii="Arial Narrow" w:hAnsi="Arial Narrow"/>
                <w:sz w:val="21"/>
                <w:szCs w:val="21"/>
              </w:rPr>
            </w:pPr>
            <w:r w:rsidRPr="001B6C68">
              <w:rPr>
                <w:rFonts w:ascii="Arial Narrow" w:hAnsi="Arial Narrow"/>
                <w:color w:val="1A7A1A"/>
                <w:sz w:val="21"/>
                <w:szCs w:val="21"/>
              </w:rPr>
              <w:t>REALIZADO</w:t>
            </w:r>
          </w:p>
        </w:tc>
      </w:tr>
      <w:tr w:rsidR="00130B83" w:rsidRPr="001B6C68" w14:paraId="3296126F" w14:textId="77777777">
        <w:tc>
          <w:tcPr>
            <w:tcW w:w="28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6A17DA45" w14:textId="77777777" w:rsidR="00130B83" w:rsidRPr="001B6C68" w:rsidRDefault="00130B83" w:rsidP="00130B83">
            <w:pPr>
              <w:spacing w:before="40" w:after="40"/>
              <w:jc w:val="left"/>
              <w:rPr>
                <w:rFonts w:ascii="Arial Narrow" w:hAnsi="Arial Narrow"/>
                <w:sz w:val="21"/>
                <w:szCs w:val="21"/>
              </w:rPr>
            </w:pPr>
            <w:r w:rsidRPr="001B6C68">
              <w:rPr>
                <w:rFonts w:ascii="Arial Narrow" w:hAnsi="Arial Narrow"/>
                <w:color w:val="000000"/>
                <w:sz w:val="21"/>
                <w:szCs w:val="21"/>
              </w:rPr>
              <w:t>Revisión y conciliación del documento</w:t>
            </w:r>
          </w:p>
        </w:tc>
        <w:tc>
          <w:tcPr>
            <w:tcW w:w="44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301D8719" w14:textId="77777777" w:rsidR="00130B83" w:rsidRPr="001B6C68" w:rsidRDefault="00130B83" w:rsidP="00130B83">
            <w:pPr>
              <w:spacing w:before="40" w:after="40"/>
              <w:jc w:val="left"/>
              <w:rPr>
                <w:rFonts w:ascii="Arial Narrow" w:hAnsi="Arial Narrow"/>
                <w:sz w:val="21"/>
                <w:szCs w:val="21"/>
              </w:rPr>
            </w:pPr>
            <w:r w:rsidRPr="001B6C68">
              <w:rPr>
                <w:rFonts w:ascii="Arial Narrow" w:hAnsi="Arial Narrow"/>
                <w:color w:val="000000"/>
                <w:sz w:val="21"/>
                <w:szCs w:val="21"/>
              </w:rPr>
              <w:t>Revisado y conciliado conjuntamente por la SDHT (equipo de apoyo a la supervisión) y el equipo técnico de la Subdirección Técnica de Parques del IDRD, como apoyo a la supervisión del IDRD en el Convenio No. 1248-2025.</w:t>
            </w:r>
          </w:p>
        </w:tc>
        <w:tc>
          <w:tcPr>
            <w:tcW w:w="17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tcPr>
          <w:p w14:paraId="77D49CF3" w14:textId="25295B9E" w:rsidR="00130B83" w:rsidRPr="001B6C68" w:rsidRDefault="00130B83" w:rsidP="00130B83">
            <w:pPr>
              <w:spacing w:before="40" w:after="40"/>
              <w:jc w:val="center"/>
              <w:rPr>
                <w:rFonts w:ascii="Arial Narrow" w:hAnsi="Arial Narrow"/>
                <w:sz w:val="21"/>
                <w:szCs w:val="21"/>
              </w:rPr>
            </w:pPr>
            <w:r w:rsidRPr="001B6C68">
              <w:rPr>
                <w:rFonts w:ascii="Arial Narrow" w:hAnsi="Arial Narrow"/>
                <w:color w:val="1A7A1A"/>
                <w:sz w:val="21"/>
                <w:szCs w:val="21"/>
              </w:rPr>
              <w:t>REALIZADO</w:t>
            </w:r>
          </w:p>
        </w:tc>
      </w:tr>
      <w:tr w:rsidR="00130B83" w:rsidRPr="001B6C68" w14:paraId="02270866" w14:textId="77777777">
        <w:tc>
          <w:tcPr>
            <w:tcW w:w="28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424E056A" w14:textId="77777777" w:rsidR="00130B83" w:rsidRPr="001B6C68" w:rsidRDefault="00130B83" w:rsidP="00130B83">
            <w:pPr>
              <w:spacing w:before="40" w:after="40"/>
              <w:jc w:val="left"/>
              <w:rPr>
                <w:rFonts w:ascii="Arial Narrow" w:hAnsi="Arial Narrow"/>
                <w:sz w:val="21"/>
                <w:szCs w:val="21"/>
              </w:rPr>
            </w:pPr>
            <w:r w:rsidRPr="001B6C68">
              <w:rPr>
                <w:rFonts w:ascii="Arial Narrow" w:hAnsi="Arial Narrow"/>
                <w:color w:val="000000"/>
                <w:sz w:val="21"/>
                <w:szCs w:val="21"/>
              </w:rPr>
              <w:t>Representante de la CE</w:t>
            </w:r>
          </w:p>
        </w:tc>
        <w:tc>
          <w:tcPr>
            <w:tcW w:w="44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46328C39" w14:textId="77777777" w:rsidR="00130B83" w:rsidRPr="001B6C68" w:rsidRDefault="00130B83" w:rsidP="00130B83">
            <w:pPr>
              <w:spacing w:before="40" w:after="40"/>
              <w:jc w:val="left"/>
              <w:rPr>
                <w:rFonts w:ascii="Arial Narrow" w:hAnsi="Arial Narrow"/>
                <w:sz w:val="21"/>
                <w:szCs w:val="21"/>
              </w:rPr>
            </w:pPr>
            <w:r w:rsidRPr="001B6C68">
              <w:rPr>
                <w:rFonts w:ascii="Arial Narrow" w:hAnsi="Arial Narrow"/>
                <w:color w:val="000000"/>
                <w:sz w:val="21"/>
                <w:szCs w:val="21"/>
              </w:rPr>
              <w:t xml:space="preserve">IDRD, a través del </w:t>
            </w:r>
            <w:proofErr w:type="gramStart"/>
            <w:r w:rsidRPr="001B6C68">
              <w:rPr>
                <w:rFonts w:ascii="Arial Narrow" w:hAnsi="Arial Narrow"/>
                <w:color w:val="000000"/>
                <w:sz w:val="21"/>
                <w:szCs w:val="21"/>
              </w:rPr>
              <w:t>Director</w:t>
            </w:r>
            <w:proofErr w:type="gramEnd"/>
            <w:r w:rsidRPr="001B6C68">
              <w:rPr>
                <w:rFonts w:ascii="Arial Narrow" w:hAnsi="Arial Narrow"/>
                <w:color w:val="000000"/>
                <w:sz w:val="21"/>
                <w:szCs w:val="21"/>
              </w:rPr>
              <w:t xml:space="preserve"> o delegado: registro ante el MME, operación y mantenimiento del SSFV.</w:t>
            </w:r>
          </w:p>
        </w:tc>
        <w:tc>
          <w:tcPr>
            <w:tcW w:w="17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tcPr>
          <w:p w14:paraId="1C3A42F2" w14:textId="789772AE" w:rsidR="00130B83" w:rsidRPr="001B6C68" w:rsidRDefault="00130B83" w:rsidP="00130B83">
            <w:pPr>
              <w:spacing w:before="40" w:after="40"/>
              <w:jc w:val="center"/>
              <w:rPr>
                <w:rFonts w:ascii="Arial Narrow" w:hAnsi="Arial Narrow"/>
                <w:sz w:val="21"/>
                <w:szCs w:val="21"/>
              </w:rPr>
            </w:pPr>
            <w:r w:rsidRPr="001B6C68">
              <w:rPr>
                <w:rFonts w:ascii="Arial Narrow" w:hAnsi="Arial Narrow"/>
                <w:color w:val="1A7A1A"/>
                <w:sz w:val="21"/>
                <w:szCs w:val="21"/>
              </w:rPr>
              <w:t>REALIZADO</w:t>
            </w:r>
          </w:p>
        </w:tc>
      </w:tr>
      <w:tr w:rsidR="00130B83" w:rsidRPr="001B6C68" w14:paraId="42135BEB" w14:textId="77777777">
        <w:tc>
          <w:tcPr>
            <w:tcW w:w="28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2E79D34C" w14:textId="77777777" w:rsidR="00130B83" w:rsidRPr="001B6C68" w:rsidRDefault="00130B83" w:rsidP="00130B83">
            <w:pPr>
              <w:spacing w:before="40" w:after="40"/>
              <w:jc w:val="left"/>
              <w:rPr>
                <w:rFonts w:ascii="Arial Narrow" w:hAnsi="Arial Narrow"/>
                <w:sz w:val="21"/>
                <w:szCs w:val="21"/>
              </w:rPr>
            </w:pPr>
            <w:r w:rsidRPr="001B6C68">
              <w:rPr>
                <w:rFonts w:ascii="Arial Narrow" w:hAnsi="Arial Narrow"/>
                <w:color w:val="000000"/>
                <w:sz w:val="21"/>
                <w:szCs w:val="21"/>
              </w:rPr>
              <w:t>Vigencia</w:t>
            </w:r>
          </w:p>
        </w:tc>
        <w:tc>
          <w:tcPr>
            <w:tcW w:w="44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12ABE4D4" w14:textId="77777777" w:rsidR="00130B83" w:rsidRPr="001B6C68" w:rsidRDefault="00130B83" w:rsidP="00130B83">
            <w:pPr>
              <w:spacing w:before="40" w:after="40"/>
              <w:jc w:val="left"/>
              <w:rPr>
                <w:rFonts w:ascii="Arial Narrow" w:hAnsi="Arial Narrow"/>
                <w:sz w:val="21"/>
                <w:szCs w:val="21"/>
              </w:rPr>
            </w:pPr>
            <w:r w:rsidRPr="001B6C68">
              <w:rPr>
                <w:rFonts w:ascii="Arial Narrow" w:hAnsi="Arial Narrow"/>
                <w:color w:val="000000"/>
                <w:sz w:val="21"/>
                <w:szCs w:val="21"/>
              </w:rPr>
              <w:t>Cinco (5) años desde la suscripción, con evaluación al término del plazo.</w:t>
            </w:r>
          </w:p>
        </w:tc>
        <w:tc>
          <w:tcPr>
            <w:tcW w:w="17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tcPr>
          <w:p w14:paraId="677657CE" w14:textId="52529052" w:rsidR="00130B83" w:rsidRPr="001B6C68" w:rsidRDefault="00130B83" w:rsidP="00130B83">
            <w:pPr>
              <w:spacing w:before="40" w:after="40"/>
              <w:jc w:val="center"/>
              <w:rPr>
                <w:rFonts w:ascii="Arial Narrow" w:hAnsi="Arial Narrow"/>
                <w:sz w:val="21"/>
                <w:szCs w:val="21"/>
              </w:rPr>
            </w:pPr>
            <w:r w:rsidRPr="001B6C68">
              <w:rPr>
                <w:rFonts w:ascii="Arial Narrow" w:hAnsi="Arial Narrow"/>
                <w:color w:val="1A7A1A"/>
                <w:sz w:val="21"/>
                <w:szCs w:val="21"/>
              </w:rPr>
              <w:t>REALIZADO</w:t>
            </w:r>
          </w:p>
        </w:tc>
      </w:tr>
      <w:tr w:rsidR="00542C62" w:rsidRPr="001B6C68" w14:paraId="3605A466" w14:textId="77777777">
        <w:tc>
          <w:tcPr>
            <w:tcW w:w="28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7BBA174A"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Suscripción formal del documento</w:t>
            </w:r>
          </w:p>
        </w:tc>
        <w:tc>
          <w:tcPr>
            <w:tcW w:w="44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2D1C78AE"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Pendiente de suscripción por las partes. Condicionada al cierre de la convocatoria y selección de los 1.000 beneficiarios.</w:t>
            </w:r>
          </w:p>
        </w:tc>
        <w:tc>
          <w:tcPr>
            <w:tcW w:w="1760" w:type="dxa"/>
            <w:tcBorders>
              <w:top w:val="single" w:sz="4" w:space="0" w:color="AAAAAA"/>
              <w:left w:val="single" w:sz="4" w:space="0" w:color="AAAAAA"/>
              <w:bottom w:val="single" w:sz="4" w:space="0" w:color="AAAAAA"/>
              <w:right w:val="single" w:sz="4" w:space="0" w:color="AAAAAA"/>
            </w:tcBorders>
            <w:shd w:val="clear" w:color="auto" w:fill="D0E4F5"/>
            <w:tcMar>
              <w:top w:w="80" w:type="dxa"/>
              <w:left w:w="120" w:type="dxa"/>
              <w:bottom w:w="80" w:type="dxa"/>
              <w:right w:w="120" w:type="dxa"/>
            </w:tcMar>
            <w:vAlign w:val="center"/>
          </w:tcPr>
          <w:p w14:paraId="384E7C5C" w14:textId="5EBD0B57" w:rsidR="00542C62" w:rsidRPr="001B6C68" w:rsidRDefault="00C9261B">
            <w:pPr>
              <w:spacing w:before="40" w:after="40"/>
              <w:jc w:val="center"/>
              <w:rPr>
                <w:rFonts w:ascii="Arial Narrow" w:hAnsi="Arial Narrow"/>
                <w:sz w:val="21"/>
                <w:szCs w:val="21"/>
              </w:rPr>
            </w:pPr>
            <w:r w:rsidRPr="001B6C68">
              <w:rPr>
                <w:rFonts w:ascii="Arial Narrow" w:hAnsi="Arial Narrow"/>
                <w:color w:val="1A5C8A"/>
                <w:sz w:val="21"/>
                <w:szCs w:val="21"/>
              </w:rPr>
              <w:t xml:space="preserve">EN TRÁMITE </w:t>
            </w:r>
          </w:p>
        </w:tc>
      </w:tr>
      <w:tr w:rsidR="00542C62" w:rsidRPr="001B6C68" w14:paraId="15425CE5" w14:textId="77777777" w:rsidTr="003A6CF2">
        <w:tc>
          <w:tcPr>
            <w:tcW w:w="28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1180A1C4"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Registro ante el MME</w:t>
            </w:r>
          </w:p>
        </w:tc>
        <w:tc>
          <w:tcPr>
            <w:tcW w:w="4400" w:type="dxa"/>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80" w:type="dxa"/>
              <w:left w:w="120" w:type="dxa"/>
              <w:bottom w:w="80" w:type="dxa"/>
              <w:right w:w="120" w:type="dxa"/>
            </w:tcMar>
            <w:vAlign w:val="center"/>
          </w:tcPr>
          <w:p w14:paraId="0ECAA556" w14:textId="0F20B7A1"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 xml:space="preserve">Pendiente, una vez suscrito el documento, </w:t>
            </w:r>
            <w:r w:rsidR="00C9261B" w:rsidRPr="001B6C68">
              <w:rPr>
                <w:rFonts w:ascii="Arial Narrow" w:hAnsi="Arial Narrow"/>
                <w:color w:val="000000"/>
                <w:sz w:val="21"/>
                <w:szCs w:val="21"/>
              </w:rPr>
              <w:t>se deberá agotar el trámite ante el MME</w:t>
            </w:r>
          </w:p>
        </w:tc>
        <w:tc>
          <w:tcPr>
            <w:tcW w:w="1760" w:type="dxa"/>
            <w:tcBorders>
              <w:top w:val="single" w:sz="4" w:space="0" w:color="AAAAAA"/>
              <w:left w:val="single" w:sz="4" w:space="0" w:color="AAAAAA"/>
              <w:bottom w:val="single" w:sz="4" w:space="0" w:color="AAAAAA"/>
              <w:right w:val="single" w:sz="4" w:space="0" w:color="AAAAAA"/>
            </w:tcBorders>
            <w:shd w:val="clear" w:color="auto" w:fill="F5D0D0"/>
            <w:tcMar>
              <w:top w:w="80" w:type="dxa"/>
              <w:left w:w="120" w:type="dxa"/>
              <w:bottom w:w="80" w:type="dxa"/>
              <w:right w:w="120" w:type="dxa"/>
            </w:tcMar>
            <w:vAlign w:val="center"/>
          </w:tcPr>
          <w:p w14:paraId="0F359283"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8A1A1A"/>
                <w:sz w:val="21"/>
                <w:szCs w:val="21"/>
              </w:rPr>
              <w:t>PENDIENTE</w:t>
            </w:r>
          </w:p>
        </w:tc>
      </w:tr>
    </w:tbl>
    <w:p w14:paraId="2DF28499" w14:textId="77777777" w:rsidR="00542C62" w:rsidRPr="001B6C68" w:rsidRDefault="00542C62">
      <w:pPr>
        <w:rPr>
          <w:rFonts w:ascii="Arial Narrow" w:hAnsi="Arial Narrow"/>
          <w:sz w:val="21"/>
          <w:szCs w:val="21"/>
        </w:rPr>
      </w:pPr>
    </w:p>
    <w:p w14:paraId="4BD5BF64" w14:textId="77777777" w:rsidR="00542C62" w:rsidRPr="00BE70C3" w:rsidRDefault="004B1850">
      <w:pPr>
        <w:spacing w:before="200" w:after="100"/>
        <w:jc w:val="left"/>
        <w:rPr>
          <w:rFonts w:ascii="Arial Narrow" w:hAnsi="Arial Narrow"/>
          <w:b/>
          <w:bCs/>
          <w:sz w:val="21"/>
          <w:szCs w:val="21"/>
        </w:rPr>
      </w:pPr>
      <w:r w:rsidRPr="00BE70C3">
        <w:rPr>
          <w:rFonts w:ascii="Arial Narrow" w:hAnsi="Arial Narrow"/>
          <w:b/>
          <w:bCs/>
          <w:color w:val="2E5D8E"/>
          <w:sz w:val="21"/>
          <w:szCs w:val="21"/>
          <w:lang w:val="es-CO"/>
        </w:rPr>
        <w:t>5.3 Contenido del documento asociativo</w:t>
      </w:r>
    </w:p>
    <w:p w14:paraId="621C490D" w14:textId="77777777" w:rsidR="00542C62" w:rsidRPr="001B6C68" w:rsidRDefault="004B1850">
      <w:pPr>
        <w:spacing w:before="100" w:after="100"/>
        <w:rPr>
          <w:rFonts w:ascii="Arial Narrow" w:hAnsi="Arial Narrow"/>
          <w:sz w:val="21"/>
          <w:szCs w:val="21"/>
        </w:rPr>
      </w:pPr>
      <w:r w:rsidRPr="001B6C68">
        <w:rPr>
          <w:rFonts w:ascii="Arial Narrow" w:hAnsi="Arial Narrow"/>
          <w:color w:val="000000"/>
          <w:sz w:val="21"/>
          <w:szCs w:val="21"/>
          <w:lang w:val="es-CO"/>
        </w:rPr>
        <w:t xml:space="preserve">El documento asociativo fue estructurado con doce (12) cláusulas en concordancia con el marco regulatorio: propósito y objeto de la CE; número de usuarios (1.000 personas naturales + IDRD y SDHT como personas jurídicas); beneficios en consumo y excedentes; representación (IDRD); derechos y obligaciones diferenciadas por parte; operación y mantenimiento a cargo del IDRD; distribución de excedentes (78 kWh/mes por beneficiario, &lt;10% para IDRD y SDHT); </w:t>
      </w:r>
      <w:r w:rsidRPr="001B6C68">
        <w:rPr>
          <w:rFonts w:ascii="Arial Narrow" w:hAnsi="Arial Narrow"/>
          <w:color w:val="000000"/>
          <w:sz w:val="21"/>
          <w:szCs w:val="21"/>
          <w:lang w:val="es-CO"/>
        </w:rPr>
        <w:lastRenderedPageBreak/>
        <w:t>vigencia (5 años con actualizaciones anuales de beneficiarios); ley aplicable; anexos (listado de integrantes y formularios de inscripción); protección de datos (Ley 1581 de 2012); y disposiciones finales.</w:t>
      </w:r>
    </w:p>
    <w:p w14:paraId="722B5CE0" w14:textId="77777777" w:rsidR="00542C62" w:rsidRPr="00BE70C3" w:rsidRDefault="00542C62">
      <w:pPr>
        <w:rPr>
          <w:rFonts w:ascii="Arial Narrow" w:hAnsi="Arial Narrow"/>
          <w:b/>
          <w:bCs/>
          <w:sz w:val="21"/>
          <w:szCs w:val="21"/>
        </w:rPr>
      </w:pPr>
    </w:p>
    <w:p w14:paraId="2B075C81" w14:textId="3007D44D" w:rsidR="00542C62" w:rsidRPr="00BE70C3" w:rsidRDefault="004B1850" w:rsidP="00BE70C3">
      <w:pPr>
        <w:spacing w:before="200" w:after="100"/>
        <w:rPr>
          <w:rFonts w:ascii="Arial Narrow" w:hAnsi="Arial Narrow"/>
          <w:b/>
          <w:bCs/>
          <w:sz w:val="21"/>
          <w:szCs w:val="21"/>
        </w:rPr>
      </w:pPr>
      <w:r w:rsidRPr="00BE70C3">
        <w:rPr>
          <w:rFonts w:ascii="Arial Narrow" w:hAnsi="Arial Narrow"/>
          <w:b/>
          <w:bCs/>
          <w:color w:val="2E5D8E"/>
          <w:sz w:val="21"/>
          <w:szCs w:val="21"/>
          <w:lang w:val="es-CO"/>
        </w:rPr>
        <w:t>5.4 Proceso de convocatoria — Protocolo para la postulación al Programa de Comunidades Energéticas</w:t>
      </w:r>
    </w:p>
    <w:p w14:paraId="547481E6" w14:textId="77777777" w:rsidR="00542C62" w:rsidRPr="001B6C68" w:rsidRDefault="004B1850">
      <w:pPr>
        <w:spacing w:before="100" w:after="100"/>
        <w:rPr>
          <w:rFonts w:ascii="Arial Narrow" w:hAnsi="Arial Narrow"/>
          <w:sz w:val="21"/>
          <w:szCs w:val="21"/>
        </w:rPr>
      </w:pPr>
      <w:r w:rsidRPr="001B6C68">
        <w:rPr>
          <w:rFonts w:ascii="Arial Narrow" w:hAnsi="Arial Narrow"/>
          <w:color w:val="000000"/>
          <w:sz w:val="21"/>
          <w:szCs w:val="21"/>
          <w:lang w:val="es-CO"/>
        </w:rPr>
        <w:t>La Secretaría Distrital de Hábitat — Dirección de Servicios Públicos diseñó el Protocolo para la postulación al Programa de Comunidades Energéticas (versión del 24 de marzo de 2026), el cual establece las etapas, criterios de priorización territorial y poblacional, procedimientos de inscripción y selección de hogares beneficiarios. El proceso se estructura en dos fases, ambas ya celebradas a la fecha de corte del presente informe.</w:t>
      </w:r>
    </w:p>
    <w:p w14:paraId="14A847DF" w14:textId="77777777" w:rsidR="00542C62" w:rsidRPr="00BE70C3" w:rsidRDefault="00542C62">
      <w:pPr>
        <w:rPr>
          <w:rFonts w:ascii="Arial Narrow" w:hAnsi="Arial Narrow"/>
          <w:b/>
          <w:bCs/>
          <w:color w:val="31849B" w:themeColor="accent5" w:themeShade="BF"/>
          <w:sz w:val="21"/>
          <w:szCs w:val="21"/>
        </w:rPr>
      </w:pPr>
    </w:p>
    <w:p w14:paraId="44012E00" w14:textId="37686929" w:rsidR="00542C62" w:rsidRPr="00BE70C3" w:rsidRDefault="004B1850" w:rsidP="00BE70C3">
      <w:pPr>
        <w:spacing w:before="160" w:after="80"/>
        <w:jc w:val="left"/>
        <w:rPr>
          <w:rFonts w:ascii="Arial Narrow" w:hAnsi="Arial Narrow"/>
          <w:b/>
          <w:bCs/>
          <w:color w:val="31849B" w:themeColor="accent5" w:themeShade="BF"/>
          <w:sz w:val="21"/>
          <w:szCs w:val="21"/>
        </w:rPr>
      </w:pPr>
      <w:r w:rsidRPr="00BE70C3">
        <w:rPr>
          <w:rFonts w:ascii="Arial Narrow" w:hAnsi="Arial Narrow"/>
          <w:b/>
          <w:bCs/>
          <w:color w:val="31849B" w:themeColor="accent5" w:themeShade="BF"/>
          <w:sz w:val="21"/>
          <w:szCs w:val="21"/>
          <w:lang w:val="es-CO"/>
        </w:rPr>
        <w:t>5.4.1 Resumen comparativo de las dos fases de convocatoria</w:t>
      </w:r>
    </w:p>
    <w:tbl>
      <w:tblPr>
        <w:tblW w:w="896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2200"/>
        <w:gridCol w:w="3200"/>
        <w:gridCol w:w="3560"/>
      </w:tblGrid>
      <w:tr w:rsidR="00542C62" w:rsidRPr="001B6C68" w14:paraId="63FCB491" w14:textId="77777777">
        <w:tc>
          <w:tcPr>
            <w:tcW w:w="22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7C4E9083"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Aspecto</w:t>
            </w:r>
          </w:p>
        </w:tc>
        <w:tc>
          <w:tcPr>
            <w:tcW w:w="32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6D0ADB9C"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 xml:space="preserve">Fase 1 — </w:t>
            </w:r>
            <w:proofErr w:type="gramStart"/>
            <w:r w:rsidRPr="001B6C68">
              <w:rPr>
                <w:rFonts w:ascii="Arial Narrow" w:hAnsi="Arial Narrow"/>
                <w:color w:val="FFFFFF"/>
                <w:sz w:val="21"/>
                <w:szCs w:val="21"/>
              </w:rPr>
              <w:t>Diciembre</w:t>
            </w:r>
            <w:proofErr w:type="gramEnd"/>
            <w:r w:rsidRPr="001B6C68">
              <w:rPr>
                <w:rFonts w:ascii="Arial Narrow" w:hAnsi="Arial Narrow"/>
                <w:color w:val="FFFFFF"/>
                <w:sz w:val="21"/>
                <w:szCs w:val="21"/>
              </w:rPr>
              <w:t xml:space="preserve"> 2025</w:t>
            </w:r>
          </w:p>
        </w:tc>
        <w:tc>
          <w:tcPr>
            <w:tcW w:w="356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5497F0C6"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 xml:space="preserve">Fase 2 — </w:t>
            </w:r>
            <w:proofErr w:type="gramStart"/>
            <w:r w:rsidRPr="001B6C68">
              <w:rPr>
                <w:rFonts w:ascii="Arial Narrow" w:hAnsi="Arial Narrow"/>
                <w:color w:val="FFFFFF"/>
                <w:sz w:val="21"/>
                <w:szCs w:val="21"/>
              </w:rPr>
              <w:t>Abril</w:t>
            </w:r>
            <w:proofErr w:type="gramEnd"/>
            <w:r w:rsidRPr="001B6C68">
              <w:rPr>
                <w:rFonts w:ascii="Arial Narrow" w:hAnsi="Arial Narrow"/>
                <w:color w:val="FFFFFF"/>
                <w:sz w:val="21"/>
                <w:szCs w:val="21"/>
              </w:rPr>
              <w:t xml:space="preserve"> 2026</w:t>
            </w:r>
          </w:p>
        </w:tc>
      </w:tr>
      <w:tr w:rsidR="00542C62" w:rsidRPr="001B6C68" w14:paraId="17DC6193" w14:textId="77777777">
        <w:tc>
          <w:tcPr>
            <w:tcW w:w="22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70A81A4E"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Periodo de realización</w:t>
            </w:r>
          </w:p>
        </w:tc>
        <w:tc>
          <w:tcPr>
            <w:tcW w:w="32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7C06174C"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Diciembre de 2025</w:t>
            </w:r>
          </w:p>
        </w:tc>
        <w:tc>
          <w:tcPr>
            <w:tcW w:w="356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10B8AD48"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Abril de 2026</w:t>
            </w:r>
          </w:p>
        </w:tc>
      </w:tr>
      <w:tr w:rsidR="00542C62" w:rsidRPr="001B6C68" w14:paraId="5F0FEAC6" w14:textId="77777777">
        <w:tc>
          <w:tcPr>
            <w:tcW w:w="2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7C9803A3"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Localidades priorizadas</w:t>
            </w:r>
          </w:p>
        </w:tc>
        <w:tc>
          <w:tcPr>
            <w:tcW w:w="3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6ED0901A"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 xml:space="preserve">15 barrios específicos de las localidades de Rafael Uribe </w:t>
            </w:r>
            <w:proofErr w:type="spellStart"/>
            <w:r w:rsidRPr="001B6C68">
              <w:rPr>
                <w:rFonts w:ascii="Arial Narrow" w:hAnsi="Arial Narrow"/>
                <w:color w:val="000000"/>
                <w:sz w:val="21"/>
                <w:szCs w:val="21"/>
              </w:rPr>
              <w:t>Uribe</w:t>
            </w:r>
            <w:proofErr w:type="spellEnd"/>
            <w:r w:rsidRPr="001B6C68">
              <w:rPr>
                <w:rFonts w:ascii="Arial Narrow" w:hAnsi="Arial Narrow"/>
                <w:color w:val="000000"/>
                <w:sz w:val="21"/>
                <w:szCs w:val="21"/>
              </w:rPr>
              <w:t>, San Cristóbal y Usme.</w:t>
            </w:r>
          </w:p>
        </w:tc>
        <w:tc>
          <w:tcPr>
            <w:tcW w:w="35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52353A71"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 xml:space="preserve">Localidades completas: Usme, San Cristóbal, Tunjuelito, Rafael Uribe </w:t>
            </w:r>
            <w:proofErr w:type="spellStart"/>
            <w:r w:rsidRPr="001B6C68">
              <w:rPr>
                <w:rFonts w:ascii="Arial Narrow" w:hAnsi="Arial Narrow"/>
                <w:color w:val="000000"/>
                <w:sz w:val="21"/>
                <w:szCs w:val="21"/>
              </w:rPr>
              <w:t>Uribe</w:t>
            </w:r>
            <w:proofErr w:type="spellEnd"/>
            <w:r w:rsidRPr="001B6C68">
              <w:rPr>
                <w:rFonts w:ascii="Arial Narrow" w:hAnsi="Arial Narrow"/>
                <w:color w:val="000000"/>
                <w:sz w:val="21"/>
                <w:szCs w:val="21"/>
              </w:rPr>
              <w:t xml:space="preserve"> y Sumapaz.</w:t>
            </w:r>
          </w:p>
        </w:tc>
      </w:tr>
      <w:tr w:rsidR="00542C62" w:rsidRPr="001B6C68" w14:paraId="490A2488" w14:textId="77777777">
        <w:tc>
          <w:tcPr>
            <w:tcW w:w="22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00AE9316"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Clasificación SISBÉN habilitante</w:t>
            </w:r>
          </w:p>
        </w:tc>
        <w:tc>
          <w:tcPr>
            <w:tcW w:w="32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444D6EB6"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Grupos A y B.</w:t>
            </w:r>
          </w:p>
        </w:tc>
        <w:tc>
          <w:tcPr>
            <w:tcW w:w="356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699D0D0A"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Grupos A, B y C.</w:t>
            </w:r>
          </w:p>
        </w:tc>
      </w:tr>
      <w:tr w:rsidR="00542C62" w:rsidRPr="001B6C68" w14:paraId="7006D269" w14:textId="77777777">
        <w:tc>
          <w:tcPr>
            <w:tcW w:w="2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25283E77"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Estrato socioeconómico</w:t>
            </w:r>
          </w:p>
        </w:tc>
        <w:tc>
          <w:tcPr>
            <w:tcW w:w="3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13F11288"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Estratos 1 y 2 en barrios priorizados.</w:t>
            </w:r>
          </w:p>
        </w:tc>
        <w:tc>
          <w:tcPr>
            <w:tcW w:w="35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2260A0D5"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Estratos 1 y 2 en localidades priorizadas.</w:t>
            </w:r>
          </w:p>
        </w:tc>
      </w:tr>
      <w:tr w:rsidR="00542C62" w:rsidRPr="001B6C68" w14:paraId="4DC239B0" w14:textId="77777777">
        <w:tc>
          <w:tcPr>
            <w:tcW w:w="22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50C2E77A"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Cuentas contrato por predio</w:t>
            </w:r>
          </w:p>
        </w:tc>
        <w:tc>
          <w:tcPr>
            <w:tcW w:w="32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60370B5C"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Una (1) cuenta contrato por predio.</w:t>
            </w:r>
          </w:p>
        </w:tc>
        <w:tc>
          <w:tcPr>
            <w:tcW w:w="356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3ABBB2AC"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Varias cuentas por predio, si corresponden a hogares distintos.</w:t>
            </w:r>
          </w:p>
        </w:tc>
      </w:tr>
      <w:tr w:rsidR="00542C62" w:rsidRPr="001B6C68" w14:paraId="443F9D8B" w14:textId="77777777">
        <w:tc>
          <w:tcPr>
            <w:tcW w:w="2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2F2C0089"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Responsable de la postulación</w:t>
            </w:r>
          </w:p>
        </w:tc>
        <w:tc>
          <w:tcPr>
            <w:tcW w:w="3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461D5B51"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Propietario del predio como potencial beneficiario.</w:t>
            </w:r>
          </w:p>
        </w:tc>
        <w:tc>
          <w:tcPr>
            <w:tcW w:w="35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6F44FA34"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El postulante como potencial beneficiario.</w:t>
            </w:r>
          </w:p>
        </w:tc>
      </w:tr>
      <w:tr w:rsidR="00542C62" w:rsidRPr="001B6C68" w14:paraId="0A8993B6" w14:textId="77777777">
        <w:tc>
          <w:tcPr>
            <w:tcW w:w="22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578BB2B0"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Estado</w:t>
            </w:r>
          </w:p>
        </w:tc>
        <w:tc>
          <w:tcPr>
            <w:tcW w:w="320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2552F7EF"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1A7A1A"/>
                <w:sz w:val="21"/>
                <w:szCs w:val="21"/>
              </w:rPr>
              <w:t>CONCLUIDO</w:t>
            </w:r>
          </w:p>
        </w:tc>
        <w:tc>
          <w:tcPr>
            <w:tcW w:w="35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7AFE582C" w14:textId="702D687A" w:rsidR="00542C62" w:rsidRPr="001B6C68" w:rsidRDefault="00C9261B">
            <w:pPr>
              <w:spacing w:before="40" w:after="40"/>
              <w:jc w:val="center"/>
              <w:rPr>
                <w:rFonts w:ascii="Arial Narrow" w:hAnsi="Arial Narrow"/>
                <w:sz w:val="21"/>
                <w:szCs w:val="21"/>
              </w:rPr>
            </w:pPr>
            <w:r w:rsidRPr="001B6C68">
              <w:rPr>
                <w:rFonts w:ascii="Arial Narrow" w:hAnsi="Arial Narrow"/>
                <w:color w:val="1A7A1A"/>
                <w:sz w:val="21"/>
                <w:szCs w:val="21"/>
              </w:rPr>
              <w:t>EN VALIDACIÓN</w:t>
            </w:r>
          </w:p>
        </w:tc>
      </w:tr>
    </w:tbl>
    <w:p w14:paraId="5AF46D08" w14:textId="77777777" w:rsidR="00542C62" w:rsidRPr="001B6C68" w:rsidRDefault="00542C62">
      <w:pPr>
        <w:rPr>
          <w:rFonts w:ascii="Arial Narrow" w:hAnsi="Arial Narrow"/>
          <w:sz w:val="21"/>
          <w:szCs w:val="21"/>
        </w:rPr>
      </w:pPr>
    </w:p>
    <w:p w14:paraId="6E07A36C" w14:textId="77777777" w:rsidR="00542C62" w:rsidRPr="00BE70C3" w:rsidRDefault="004B1850">
      <w:pPr>
        <w:spacing w:before="160" w:after="80"/>
        <w:jc w:val="left"/>
        <w:rPr>
          <w:rFonts w:ascii="Arial Narrow" w:hAnsi="Arial Narrow"/>
          <w:b/>
          <w:bCs/>
          <w:color w:val="31849B" w:themeColor="accent5" w:themeShade="BF"/>
          <w:sz w:val="21"/>
          <w:szCs w:val="21"/>
        </w:rPr>
      </w:pPr>
      <w:r w:rsidRPr="00BE70C3">
        <w:rPr>
          <w:rFonts w:ascii="Arial Narrow" w:hAnsi="Arial Narrow"/>
          <w:b/>
          <w:bCs/>
          <w:color w:val="31849B" w:themeColor="accent5" w:themeShade="BF"/>
          <w:sz w:val="21"/>
          <w:szCs w:val="21"/>
          <w:lang w:val="es-CO"/>
        </w:rPr>
        <w:t>5.4.2 Focalización territorial — Fase 1</w:t>
      </w:r>
    </w:p>
    <w:p w14:paraId="36154612" w14:textId="77777777" w:rsidR="00542C62" w:rsidRPr="001B6C68" w:rsidRDefault="004B1850">
      <w:pPr>
        <w:spacing w:before="100" w:after="100"/>
        <w:rPr>
          <w:rFonts w:ascii="Arial Narrow" w:hAnsi="Arial Narrow"/>
          <w:sz w:val="21"/>
          <w:szCs w:val="21"/>
        </w:rPr>
      </w:pPr>
      <w:r w:rsidRPr="001B6C68">
        <w:rPr>
          <w:rFonts w:ascii="Arial Narrow" w:hAnsi="Arial Narrow"/>
          <w:color w:val="000000"/>
          <w:sz w:val="21"/>
          <w:szCs w:val="21"/>
          <w:lang w:val="es-CO"/>
        </w:rPr>
        <w:t xml:space="preserve">Para la primera fase la SDHT realizó el análisis técnico de variables socioeconómicas (SISBÉN IV, estratificación) y </w:t>
      </w:r>
      <w:r w:rsidRPr="001B6C68">
        <w:rPr>
          <w:rFonts w:ascii="Arial Narrow" w:hAnsi="Arial Narrow"/>
          <w:color w:val="000000"/>
          <w:sz w:val="21"/>
          <w:szCs w:val="21"/>
          <w:lang w:val="es-CO"/>
        </w:rPr>
        <w:lastRenderedPageBreak/>
        <w:t>territoriales, definiendo 15 polígonos en los siguientes barrios del área de influencia del CEFE Tunal:</w:t>
      </w:r>
    </w:p>
    <w:p w14:paraId="692DE04D" w14:textId="77777777" w:rsidR="00542C62" w:rsidRPr="001B6C68" w:rsidRDefault="00542C62">
      <w:pPr>
        <w:rPr>
          <w:rFonts w:ascii="Arial Narrow" w:hAnsi="Arial Narrow"/>
          <w:sz w:val="21"/>
          <w:szCs w:val="21"/>
        </w:rPr>
      </w:pPr>
    </w:p>
    <w:p w14:paraId="2002D9EB" w14:textId="77777777" w:rsidR="00542C62" w:rsidRPr="001B6C68" w:rsidRDefault="004B1850">
      <w:pPr>
        <w:numPr>
          <w:ilvl w:val="0"/>
          <w:numId w:val="3"/>
        </w:numPr>
        <w:spacing w:before="40" w:after="40"/>
        <w:rPr>
          <w:rFonts w:ascii="Arial Narrow" w:hAnsi="Arial Narrow"/>
          <w:sz w:val="21"/>
          <w:szCs w:val="21"/>
        </w:rPr>
      </w:pPr>
      <w:r w:rsidRPr="001B6C68">
        <w:rPr>
          <w:rFonts w:ascii="Arial Narrow" w:hAnsi="Arial Narrow"/>
          <w:sz w:val="21"/>
          <w:szCs w:val="21"/>
          <w:lang w:val="es-CO"/>
        </w:rPr>
        <w:t>Alfonso López (Sector El Progreso)</w:t>
      </w:r>
    </w:p>
    <w:p w14:paraId="286ECE16" w14:textId="77777777" w:rsidR="00542C62" w:rsidRPr="001B6C68" w:rsidRDefault="004B1850">
      <w:pPr>
        <w:numPr>
          <w:ilvl w:val="0"/>
          <w:numId w:val="3"/>
        </w:numPr>
        <w:spacing w:before="40" w:after="40"/>
        <w:rPr>
          <w:rFonts w:ascii="Arial Narrow" w:hAnsi="Arial Narrow"/>
          <w:sz w:val="21"/>
          <w:szCs w:val="21"/>
        </w:rPr>
      </w:pPr>
      <w:r w:rsidRPr="001B6C68">
        <w:rPr>
          <w:rFonts w:ascii="Arial Narrow" w:hAnsi="Arial Narrow"/>
          <w:sz w:val="21"/>
          <w:szCs w:val="21"/>
          <w:lang w:val="es-CO"/>
        </w:rPr>
        <w:t>Alfonso López (Sector La Alborada)</w:t>
      </w:r>
    </w:p>
    <w:p w14:paraId="3DE4E0EF" w14:textId="77777777" w:rsidR="00542C62" w:rsidRPr="001B6C68" w:rsidRDefault="004B1850">
      <w:pPr>
        <w:numPr>
          <w:ilvl w:val="0"/>
          <w:numId w:val="3"/>
        </w:numPr>
        <w:spacing w:before="40" w:after="40"/>
        <w:rPr>
          <w:rFonts w:ascii="Arial Narrow" w:hAnsi="Arial Narrow"/>
          <w:sz w:val="21"/>
          <w:szCs w:val="21"/>
        </w:rPr>
      </w:pPr>
      <w:r w:rsidRPr="001B6C68">
        <w:rPr>
          <w:rFonts w:ascii="Arial Narrow" w:hAnsi="Arial Narrow"/>
          <w:sz w:val="21"/>
          <w:szCs w:val="21"/>
          <w:lang w:val="es-CO"/>
        </w:rPr>
        <w:t>Antonio José de Sucre I Sector</w:t>
      </w:r>
    </w:p>
    <w:p w14:paraId="1095FA7B" w14:textId="77777777" w:rsidR="00542C62" w:rsidRPr="001B6C68" w:rsidRDefault="004B1850">
      <w:pPr>
        <w:numPr>
          <w:ilvl w:val="0"/>
          <w:numId w:val="3"/>
        </w:numPr>
        <w:spacing w:before="40" w:after="40"/>
        <w:rPr>
          <w:rFonts w:ascii="Arial Narrow" w:hAnsi="Arial Narrow"/>
          <w:sz w:val="21"/>
          <w:szCs w:val="21"/>
        </w:rPr>
      </w:pPr>
      <w:r w:rsidRPr="001B6C68">
        <w:rPr>
          <w:rFonts w:ascii="Arial Narrow" w:hAnsi="Arial Narrow"/>
          <w:sz w:val="21"/>
          <w:szCs w:val="21"/>
          <w:lang w:val="es-CO"/>
        </w:rPr>
        <w:t>Antonio José de Sucre III</w:t>
      </w:r>
    </w:p>
    <w:p w14:paraId="64B7095D" w14:textId="77777777" w:rsidR="00542C62" w:rsidRPr="001B6C68" w:rsidRDefault="004B1850">
      <w:pPr>
        <w:numPr>
          <w:ilvl w:val="0"/>
          <w:numId w:val="3"/>
        </w:numPr>
        <w:spacing w:before="40" w:after="40"/>
        <w:rPr>
          <w:rFonts w:ascii="Arial Narrow" w:hAnsi="Arial Narrow"/>
          <w:sz w:val="21"/>
          <w:szCs w:val="21"/>
        </w:rPr>
      </w:pPr>
      <w:r w:rsidRPr="001B6C68">
        <w:rPr>
          <w:rFonts w:ascii="Arial Narrow" w:hAnsi="Arial Narrow"/>
          <w:sz w:val="21"/>
          <w:szCs w:val="21"/>
          <w:lang w:val="es-CO"/>
        </w:rPr>
        <w:t>El Curubo</w:t>
      </w:r>
    </w:p>
    <w:p w14:paraId="5CEF15F7" w14:textId="77777777" w:rsidR="00542C62" w:rsidRPr="001B6C68" w:rsidRDefault="004B1850">
      <w:pPr>
        <w:numPr>
          <w:ilvl w:val="0"/>
          <w:numId w:val="3"/>
        </w:numPr>
        <w:spacing w:before="40" w:after="40"/>
        <w:rPr>
          <w:rFonts w:ascii="Arial Narrow" w:hAnsi="Arial Narrow"/>
          <w:sz w:val="21"/>
          <w:szCs w:val="21"/>
        </w:rPr>
      </w:pPr>
      <w:r w:rsidRPr="001B6C68">
        <w:rPr>
          <w:rFonts w:ascii="Arial Narrow" w:hAnsi="Arial Narrow"/>
          <w:sz w:val="21"/>
          <w:szCs w:val="21"/>
          <w:lang w:val="es-CO"/>
        </w:rPr>
        <w:t>El Portal del Divino</w:t>
      </w:r>
    </w:p>
    <w:p w14:paraId="5B2A951F" w14:textId="77777777" w:rsidR="00542C62" w:rsidRPr="001B6C68" w:rsidRDefault="004B1850">
      <w:pPr>
        <w:numPr>
          <w:ilvl w:val="0"/>
          <w:numId w:val="3"/>
        </w:numPr>
        <w:spacing w:before="40" w:after="40"/>
        <w:rPr>
          <w:rFonts w:ascii="Arial Narrow" w:hAnsi="Arial Narrow"/>
          <w:sz w:val="21"/>
          <w:szCs w:val="21"/>
        </w:rPr>
      </w:pPr>
      <w:r w:rsidRPr="001B6C68">
        <w:rPr>
          <w:rFonts w:ascii="Arial Narrow" w:hAnsi="Arial Narrow"/>
          <w:sz w:val="21"/>
          <w:szCs w:val="21"/>
          <w:lang w:val="es-CO"/>
        </w:rPr>
        <w:t>El Quindío</w:t>
      </w:r>
    </w:p>
    <w:p w14:paraId="0BA7B1CA" w14:textId="77777777" w:rsidR="00542C62" w:rsidRPr="001B6C68" w:rsidRDefault="004B1850">
      <w:pPr>
        <w:numPr>
          <w:ilvl w:val="0"/>
          <w:numId w:val="3"/>
        </w:numPr>
        <w:spacing w:before="40" w:after="40"/>
        <w:rPr>
          <w:rFonts w:ascii="Arial Narrow" w:hAnsi="Arial Narrow"/>
          <w:sz w:val="21"/>
          <w:szCs w:val="21"/>
        </w:rPr>
      </w:pPr>
      <w:r w:rsidRPr="001B6C68">
        <w:rPr>
          <w:rFonts w:ascii="Arial Narrow" w:hAnsi="Arial Narrow"/>
          <w:sz w:val="21"/>
          <w:szCs w:val="21"/>
          <w:lang w:val="es-CO"/>
        </w:rPr>
        <w:t>Las Violetas</w:t>
      </w:r>
    </w:p>
    <w:p w14:paraId="3B5C3899" w14:textId="77777777" w:rsidR="00542C62" w:rsidRPr="001B6C68" w:rsidRDefault="004B1850">
      <w:pPr>
        <w:numPr>
          <w:ilvl w:val="0"/>
          <w:numId w:val="3"/>
        </w:numPr>
        <w:spacing w:before="40" w:after="40"/>
        <w:rPr>
          <w:rFonts w:ascii="Arial Narrow" w:hAnsi="Arial Narrow"/>
          <w:sz w:val="21"/>
          <w:szCs w:val="21"/>
        </w:rPr>
      </w:pPr>
      <w:r w:rsidRPr="001B6C68">
        <w:rPr>
          <w:rFonts w:ascii="Arial Narrow" w:hAnsi="Arial Narrow"/>
          <w:sz w:val="21"/>
          <w:szCs w:val="21"/>
          <w:lang w:val="es-CO"/>
        </w:rPr>
        <w:t>Los Arrayanes</w:t>
      </w:r>
    </w:p>
    <w:p w14:paraId="5BF4117C" w14:textId="77777777" w:rsidR="00542C62" w:rsidRPr="001B6C68" w:rsidRDefault="004B1850">
      <w:pPr>
        <w:numPr>
          <w:ilvl w:val="0"/>
          <w:numId w:val="3"/>
        </w:numPr>
        <w:spacing w:before="40" w:after="40"/>
        <w:rPr>
          <w:rFonts w:ascii="Arial Narrow" w:hAnsi="Arial Narrow"/>
          <w:sz w:val="21"/>
          <w:szCs w:val="21"/>
        </w:rPr>
      </w:pPr>
      <w:r w:rsidRPr="001B6C68">
        <w:rPr>
          <w:rFonts w:ascii="Arial Narrow" w:hAnsi="Arial Narrow"/>
          <w:sz w:val="21"/>
          <w:szCs w:val="21"/>
          <w:lang w:val="es-CO"/>
        </w:rPr>
        <w:t>Marco Fidel Suárez</w:t>
      </w:r>
    </w:p>
    <w:p w14:paraId="3D4F9BF6" w14:textId="77777777" w:rsidR="00542C62" w:rsidRPr="001B6C68" w:rsidRDefault="004B1850">
      <w:pPr>
        <w:numPr>
          <w:ilvl w:val="0"/>
          <w:numId w:val="3"/>
        </w:numPr>
        <w:spacing w:before="40" w:after="40"/>
        <w:rPr>
          <w:rFonts w:ascii="Arial Narrow" w:hAnsi="Arial Narrow"/>
          <w:sz w:val="21"/>
          <w:szCs w:val="21"/>
        </w:rPr>
      </w:pPr>
      <w:r w:rsidRPr="001B6C68">
        <w:rPr>
          <w:rFonts w:ascii="Arial Narrow" w:hAnsi="Arial Narrow"/>
          <w:sz w:val="21"/>
          <w:szCs w:val="21"/>
          <w:lang w:val="es-CO"/>
        </w:rPr>
        <w:t>Nuevo Porvenir</w:t>
      </w:r>
    </w:p>
    <w:p w14:paraId="321F0502" w14:textId="77777777" w:rsidR="00542C62" w:rsidRPr="001B6C68" w:rsidRDefault="004B1850">
      <w:pPr>
        <w:numPr>
          <w:ilvl w:val="0"/>
          <w:numId w:val="3"/>
        </w:numPr>
        <w:spacing w:before="40" w:after="40"/>
        <w:rPr>
          <w:rFonts w:ascii="Arial Narrow" w:hAnsi="Arial Narrow"/>
          <w:sz w:val="21"/>
          <w:szCs w:val="21"/>
        </w:rPr>
      </w:pPr>
      <w:r w:rsidRPr="001B6C68">
        <w:rPr>
          <w:rFonts w:ascii="Arial Narrow" w:hAnsi="Arial Narrow"/>
          <w:sz w:val="21"/>
          <w:szCs w:val="21"/>
          <w:lang w:val="es-CO"/>
        </w:rPr>
        <w:t>San Ignacio</w:t>
      </w:r>
    </w:p>
    <w:p w14:paraId="6B0FF2FE" w14:textId="77777777" w:rsidR="00542C62" w:rsidRPr="001B6C68" w:rsidRDefault="004B1850">
      <w:pPr>
        <w:numPr>
          <w:ilvl w:val="0"/>
          <w:numId w:val="3"/>
        </w:numPr>
        <w:spacing w:before="40" w:after="40"/>
        <w:rPr>
          <w:rFonts w:ascii="Arial Narrow" w:hAnsi="Arial Narrow"/>
          <w:sz w:val="21"/>
          <w:szCs w:val="21"/>
        </w:rPr>
      </w:pPr>
      <w:r w:rsidRPr="001B6C68">
        <w:rPr>
          <w:rFonts w:ascii="Arial Narrow" w:hAnsi="Arial Narrow"/>
          <w:sz w:val="21"/>
          <w:szCs w:val="21"/>
          <w:lang w:val="es-CO"/>
        </w:rPr>
        <w:t>Urbanización "Doña Liliana"</w:t>
      </w:r>
    </w:p>
    <w:p w14:paraId="5DE9EF3C" w14:textId="77777777" w:rsidR="00542C62" w:rsidRPr="001B6C68" w:rsidRDefault="004B1850">
      <w:pPr>
        <w:numPr>
          <w:ilvl w:val="0"/>
          <w:numId w:val="3"/>
        </w:numPr>
        <w:spacing w:before="40" w:after="40"/>
        <w:rPr>
          <w:rFonts w:ascii="Arial Narrow" w:hAnsi="Arial Narrow"/>
          <w:sz w:val="21"/>
          <w:szCs w:val="21"/>
        </w:rPr>
      </w:pPr>
      <w:r w:rsidRPr="001B6C68">
        <w:rPr>
          <w:rFonts w:ascii="Arial Narrow" w:hAnsi="Arial Narrow"/>
          <w:sz w:val="21"/>
          <w:szCs w:val="21"/>
          <w:lang w:val="es-CO"/>
        </w:rPr>
        <w:t>Villa Diana</w:t>
      </w:r>
    </w:p>
    <w:p w14:paraId="728BBF77" w14:textId="77777777" w:rsidR="00542C62" w:rsidRPr="001B6C68" w:rsidRDefault="004B1850">
      <w:pPr>
        <w:numPr>
          <w:ilvl w:val="0"/>
          <w:numId w:val="3"/>
        </w:numPr>
        <w:spacing w:before="40" w:after="40"/>
        <w:rPr>
          <w:rFonts w:ascii="Arial Narrow" w:hAnsi="Arial Narrow"/>
          <w:sz w:val="21"/>
          <w:szCs w:val="21"/>
        </w:rPr>
      </w:pPr>
      <w:r w:rsidRPr="001B6C68">
        <w:rPr>
          <w:rFonts w:ascii="Arial Narrow" w:hAnsi="Arial Narrow"/>
          <w:sz w:val="21"/>
          <w:szCs w:val="21"/>
          <w:lang w:val="es-CO"/>
        </w:rPr>
        <w:t>Villa Rosita</w:t>
      </w:r>
    </w:p>
    <w:p w14:paraId="763D1CEE" w14:textId="77777777" w:rsidR="00542C62" w:rsidRPr="001B6C68" w:rsidRDefault="00542C62">
      <w:pPr>
        <w:rPr>
          <w:rFonts w:ascii="Arial Narrow" w:hAnsi="Arial Narrow"/>
          <w:sz w:val="21"/>
          <w:szCs w:val="21"/>
        </w:rPr>
      </w:pPr>
    </w:p>
    <w:p w14:paraId="218BDB76" w14:textId="77777777" w:rsidR="00542C62" w:rsidRPr="00BE70C3" w:rsidRDefault="004B1850">
      <w:pPr>
        <w:spacing w:before="160" w:after="80"/>
        <w:jc w:val="left"/>
        <w:rPr>
          <w:rFonts w:ascii="Arial Narrow" w:hAnsi="Arial Narrow"/>
          <w:b/>
          <w:bCs/>
          <w:color w:val="31849B" w:themeColor="accent5" w:themeShade="BF"/>
          <w:sz w:val="21"/>
          <w:szCs w:val="21"/>
        </w:rPr>
      </w:pPr>
      <w:r w:rsidRPr="00BE70C3">
        <w:rPr>
          <w:rFonts w:ascii="Arial Narrow" w:hAnsi="Arial Narrow"/>
          <w:b/>
          <w:bCs/>
          <w:color w:val="31849B" w:themeColor="accent5" w:themeShade="BF"/>
          <w:sz w:val="21"/>
          <w:szCs w:val="21"/>
          <w:lang w:val="es-CO"/>
        </w:rPr>
        <w:t>5.4.3 Focalización territorial — Fase 2</w:t>
      </w:r>
    </w:p>
    <w:p w14:paraId="45832B7A" w14:textId="171098AC" w:rsidR="00542C62" w:rsidRDefault="004B1850" w:rsidP="00BE70C3">
      <w:pPr>
        <w:spacing w:before="100" w:after="100"/>
        <w:rPr>
          <w:rFonts w:ascii="Arial Narrow" w:hAnsi="Arial Narrow"/>
          <w:sz w:val="21"/>
          <w:szCs w:val="21"/>
        </w:rPr>
      </w:pPr>
      <w:r w:rsidRPr="001B6C68">
        <w:rPr>
          <w:rFonts w:ascii="Arial Narrow" w:hAnsi="Arial Narrow"/>
          <w:color w:val="000000"/>
          <w:sz w:val="21"/>
          <w:szCs w:val="21"/>
          <w:lang w:val="es-CO"/>
        </w:rPr>
        <w:t>En la segunda fase se amplió la focalización a la totalidad de las siguientes localidades, facilitando la postulación de hogares con condiciones similares de vulnerabilidad en territorios más amplios</w:t>
      </w:r>
      <w:r w:rsidR="00C9261B" w:rsidRPr="001B6C68">
        <w:rPr>
          <w:rFonts w:ascii="Arial Narrow" w:hAnsi="Arial Narrow"/>
          <w:color w:val="000000"/>
          <w:sz w:val="21"/>
          <w:szCs w:val="21"/>
          <w:lang w:val="es-CO"/>
        </w:rPr>
        <w:t>.</w:t>
      </w:r>
    </w:p>
    <w:p w14:paraId="73C56C00" w14:textId="77777777" w:rsidR="00BE70C3" w:rsidRPr="001B6C68" w:rsidRDefault="00BE70C3" w:rsidP="00BE70C3">
      <w:pPr>
        <w:spacing w:before="100" w:after="100"/>
        <w:rPr>
          <w:rFonts w:ascii="Arial Narrow" w:hAnsi="Arial Narrow"/>
          <w:sz w:val="21"/>
          <w:szCs w:val="21"/>
        </w:rPr>
      </w:pPr>
    </w:p>
    <w:p w14:paraId="5427C342" w14:textId="77777777" w:rsidR="00542C62" w:rsidRPr="00BE70C3" w:rsidRDefault="004B1850">
      <w:pPr>
        <w:spacing w:before="160" w:after="80"/>
        <w:jc w:val="left"/>
        <w:rPr>
          <w:rFonts w:ascii="Arial Narrow" w:hAnsi="Arial Narrow"/>
          <w:b/>
          <w:bCs/>
          <w:color w:val="31849B" w:themeColor="accent5" w:themeShade="BF"/>
          <w:sz w:val="21"/>
          <w:szCs w:val="21"/>
        </w:rPr>
      </w:pPr>
      <w:r w:rsidRPr="00BE70C3">
        <w:rPr>
          <w:rFonts w:ascii="Arial Narrow" w:hAnsi="Arial Narrow"/>
          <w:b/>
          <w:bCs/>
          <w:color w:val="31849B" w:themeColor="accent5" w:themeShade="BF"/>
          <w:sz w:val="21"/>
          <w:szCs w:val="21"/>
          <w:lang w:val="es-CO"/>
        </w:rPr>
        <w:t>5.4.4 Metodología de selección de beneficiarios</w:t>
      </w:r>
    </w:p>
    <w:p w14:paraId="147A8FF3" w14:textId="77777777" w:rsidR="00542C62" w:rsidRPr="001B6C68" w:rsidRDefault="004B1850">
      <w:pPr>
        <w:spacing w:before="100" w:after="100"/>
        <w:rPr>
          <w:rFonts w:ascii="Arial Narrow" w:hAnsi="Arial Narrow"/>
          <w:sz w:val="21"/>
          <w:szCs w:val="21"/>
        </w:rPr>
      </w:pPr>
      <w:r w:rsidRPr="001B6C68">
        <w:rPr>
          <w:rFonts w:ascii="Arial Narrow" w:hAnsi="Arial Narrow"/>
          <w:color w:val="000000"/>
          <w:sz w:val="21"/>
          <w:szCs w:val="21"/>
          <w:lang w:val="es-CO"/>
        </w:rPr>
        <w:t>La asignación de los 2.000 cupos (1.000 por CEFE) sigue la siguiente metodología por pasos:</w:t>
      </w:r>
    </w:p>
    <w:p w14:paraId="3CF11001" w14:textId="77777777" w:rsidR="00542C62" w:rsidRPr="001B6C68" w:rsidRDefault="00542C62">
      <w:pPr>
        <w:rPr>
          <w:rFonts w:ascii="Arial Narrow" w:hAnsi="Arial Narrow"/>
          <w:sz w:val="21"/>
          <w:szCs w:val="21"/>
        </w:rPr>
      </w:pPr>
    </w:p>
    <w:tbl>
      <w:tblPr>
        <w:tblW w:w="896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400"/>
        <w:gridCol w:w="1800"/>
        <w:gridCol w:w="6760"/>
      </w:tblGrid>
      <w:tr w:rsidR="00542C62" w:rsidRPr="001B6C68" w14:paraId="2D383993" w14:textId="77777777">
        <w:tc>
          <w:tcPr>
            <w:tcW w:w="4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06FFCF15"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w:t>
            </w:r>
          </w:p>
        </w:tc>
        <w:tc>
          <w:tcPr>
            <w:tcW w:w="18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1EB80E81"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Paso</w:t>
            </w:r>
          </w:p>
        </w:tc>
        <w:tc>
          <w:tcPr>
            <w:tcW w:w="676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16113558"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Descripción</w:t>
            </w:r>
          </w:p>
        </w:tc>
      </w:tr>
      <w:tr w:rsidR="00542C62" w:rsidRPr="001B6C68" w14:paraId="66412BD3" w14:textId="77777777">
        <w:tc>
          <w:tcPr>
            <w:tcW w:w="4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6105969D"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1</w:t>
            </w:r>
          </w:p>
        </w:tc>
        <w:tc>
          <w:tcPr>
            <w:tcW w:w="18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2E6FF98D"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 xml:space="preserve">Orden de </w:t>
            </w:r>
            <w:r w:rsidRPr="001B6C68">
              <w:rPr>
                <w:rFonts w:ascii="Arial Narrow" w:hAnsi="Arial Narrow"/>
                <w:color w:val="000000"/>
                <w:sz w:val="21"/>
                <w:szCs w:val="21"/>
              </w:rPr>
              <w:lastRenderedPageBreak/>
              <w:t>inscripción</w:t>
            </w:r>
          </w:p>
        </w:tc>
        <w:tc>
          <w:tcPr>
            <w:tcW w:w="67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18C55B02"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lastRenderedPageBreak/>
              <w:t xml:space="preserve">Priorización por orden de inscripción y cumplimiento de criterios, hasta completar </w:t>
            </w:r>
            <w:r w:rsidRPr="001B6C68">
              <w:rPr>
                <w:rFonts w:ascii="Arial Narrow" w:hAnsi="Arial Narrow"/>
                <w:color w:val="000000"/>
                <w:sz w:val="21"/>
                <w:szCs w:val="21"/>
              </w:rPr>
              <w:lastRenderedPageBreak/>
              <w:t>cupos por localidad.</w:t>
            </w:r>
          </w:p>
        </w:tc>
      </w:tr>
      <w:tr w:rsidR="00542C62" w:rsidRPr="001B6C68" w14:paraId="0D13E2FB" w14:textId="77777777">
        <w:tc>
          <w:tcPr>
            <w:tcW w:w="4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6D3B1E28"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lastRenderedPageBreak/>
              <w:t>2</w:t>
            </w:r>
          </w:p>
        </w:tc>
        <w:tc>
          <w:tcPr>
            <w:tcW w:w="18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1000E2F0"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Redistribución de cupos vacantes</w:t>
            </w:r>
          </w:p>
        </w:tc>
        <w:tc>
          <w:tcPr>
            <w:tcW w:w="676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0D0ED527"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Si una localidad no completa sus cupos, estos se redistribuyen entre hogares de otras localidades no beneficiados, por orden de inscripción.</w:t>
            </w:r>
          </w:p>
        </w:tc>
      </w:tr>
      <w:tr w:rsidR="00542C62" w:rsidRPr="001B6C68" w14:paraId="59E25DCE" w14:textId="77777777">
        <w:tc>
          <w:tcPr>
            <w:tcW w:w="4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4EF7784C"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3</w:t>
            </w:r>
          </w:p>
        </w:tc>
        <w:tc>
          <w:tcPr>
            <w:tcW w:w="18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06CECF88"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Modelamiento de excedentes</w:t>
            </w:r>
          </w:p>
        </w:tc>
        <w:tc>
          <w:tcPr>
            <w:tcW w:w="67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46FC58AA" w14:textId="3DE8C793"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Una vez completados los 2.000 cupos, se distribuyen excedentes considerando proyecciones de generación y consumos del último año. Base: 78 kWh/mes (60% del consumo de subsistencia</w:t>
            </w:r>
            <w:r w:rsidR="00C9261B" w:rsidRPr="001B6C68">
              <w:rPr>
                <w:rFonts w:ascii="Arial Narrow" w:hAnsi="Arial Narrow"/>
                <w:color w:val="000000"/>
                <w:sz w:val="21"/>
                <w:szCs w:val="21"/>
              </w:rPr>
              <w:t>.</w:t>
            </w:r>
          </w:p>
        </w:tc>
      </w:tr>
      <w:tr w:rsidR="00542C62" w:rsidRPr="001B6C68" w14:paraId="70CB0445" w14:textId="77777777">
        <w:tc>
          <w:tcPr>
            <w:tcW w:w="4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5C357ED4"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4</w:t>
            </w:r>
          </w:p>
        </w:tc>
        <w:tc>
          <w:tcPr>
            <w:tcW w:w="18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0B4F6070"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Excedentes a entidades distritales</w:t>
            </w:r>
          </w:p>
        </w:tc>
        <w:tc>
          <w:tcPr>
            <w:tcW w:w="676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7F335EDB" w14:textId="3489D359"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10% de la energía generada al CEFE respectivo. Hasta 78 kWh/mes por hogar para los 2.000 beneficiarios. El excedente restante a instalaciones de la SDHT. Generación estimad</w:t>
            </w:r>
            <w:r w:rsidRPr="00F60C83">
              <w:rPr>
                <w:rFonts w:ascii="Arial Narrow" w:hAnsi="Arial Narrow"/>
                <w:color w:val="000000"/>
                <w:sz w:val="21"/>
                <w:szCs w:val="21"/>
              </w:rPr>
              <w:t xml:space="preserve">a: </w:t>
            </w:r>
            <w:proofErr w:type="gramStart"/>
            <w:r w:rsidR="00F60C83" w:rsidRPr="00F60C83">
              <w:rPr>
                <w:rFonts w:ascii="Arial Narrow" w:hAnsi="Arial Narrow"/>
                <w:color w:val="000000"/>
                <w:sz w:val="21"/>
                <w:szCs w:val="21"/>
              </w:rPr>
              <w:t>121.225</w:t>
            </w:r>
            <w:r w:rsidR="00C9261B" w:rsidRPr="00F60C83">
              <w:rPr>
                <w:rFonts w:ascii="Arial Narrow" w:hAnsi="Arial Narrow"/>
                <w:color w:val="000000"/>
                <w:sz w:val="21"/>
                <w:szCs w:val="21"/>
              </w:rPr>
              <w:t xml:space="preserve"> </w:t>
            </w:r>
            <w:r w:rsidRPr="00F60C83">
              <w:rPr>
                <w:rFonts w:ascii="Arial Narrow" w:hAnsi="Arial Narrow"/>
                <w:color w:val="000000"/>
                <w:sz w:val="21"/>
                <w:szCs w:val="21"/>
              </w:rPr>
              <w:t xml:space="preserve"> kWh</w:t>
            </w:r>
            <w:proofErr w:type="gramEnd"/>
            <w:r w:rsidRPr="00F60C83">
              <w:rPr>
                <w:rFonts w:ascii="Arial Narrow" w:hAnsi="Arial Narrow"/>
                <w:color w:val="000000"/>
                <w:sz w:val="21"/>
                <w:szCs w:val="21"/>
              </w:rPr>
              <w:t>/mes</w:t>
            </w:r>
            <w:r w:rsidR="00F60C83" w:rsidRPr="00F60C83">
              <w:rPr>
                <w:rFonts w:ascii="Arial Narrow" w:hAnsi="Arial Narrow"/>
                <w:color w:val="000000"/>
                <w:sz w:val="21"/>
                <w:szCs w:val="21"/>
              </w:rPr>
              <w:t xml:space="preserve"> en San Cristóbal y </w:t>
            </w:r>
            <w:r w:rsidR="00F60C83">
              <w:rPr>
                <w:rFonts w:ascii="Arial Narrow" w:hAnsi="Arial Narrow"/>
                <w:color w:val="000000"/>
                <w:sz w:val="21"/>
                <w:szCs w:val="21"/>
              </w:rPr>
              <w:t>114.175 kWh/mes en Tunal</w:t>
            </w:r>
          </w:p>
        </w:tc>
      </w:tr>
    </w:tbl>
    <w:p w14:paraId="252DE383" w14:textId="77777777" w:rsidR="00C9261B" w:rsidRPr="001B6C68" w:rsidRDefault="00C9261B">
      <w:pPr>
        <w:spacing w:before="160" w:after="80"/>
        <w:jc w:val="left"/>
        <w:rPr>
          <w:rFonts w:ascii="Arial Narrow" w:hAnsi="Arial Narrow"/>
          <w:color w:val="31849B" w:themeColor="accent5" w:themeShade="BF"/>
          <w:sz w:val="21"/>
          <w:szCs w:val="21"/>
          <w:lang w:val="es-CO"/>
        </w:rPr>
      </w:pPr>
    </w:p>
    <w:p w14:paraId="4B661517" w14:textId="489C09B9" w:rsidR="00542C62" w:rsidRPr="00BE70C3" w:rsidRDefault="004B1850">
      <w:pPr>
        <w:spacing w:before="160" w:after="80"/>
        <w:jc w:val="left"/>
        <w:rPr>
          <w:rFonts w:ascii="Arial Narrow" w:hAnsi="Arial Narrow"/>
          <w:b/>
          <w:bCs/>
          <w:color w:val="31849B" w:themeColor="accent5" w:themeShade="BF"/>
          <w:sz w:val="21"/>
          <w:szCs w:val="21"/>
        </w:rPr>
      </w:pPr>
      <w:r w:rsidRPr="00BE70C3">
        <w:rPr>
          <w:rFonts w:ascii="Arial Narrow" w:hAnsi="Arial Narrow"/>
          <w:b/>
          <w:bCs/>
          <w:color w:val="31849B" w:themeColor="accent5" w:themeShade="BF"/>
          <w:sz w:val="21"/>
          <w:szCs w:val="21"/>
          <w:lang w:val="es-CO"/>
        </w:rPr>
        <w:t>5.4.6 Estado actual del proceso de convocatoria</w:t>
      </w:r>
    </w:p>
    <w:p w14:paraId="2643FF8E" w14:textId="77777777" w:rsidR="00542C62" w:rsidRPr="001B6C68" w:rsidRDefault="00542C62">
      <w:pPr>
        <w:rPr>
          <w:rFonts w:ascii="Arial Narrow" w:hAnsi="Arial Narrow"/>
          <w:sz w:val="21"/>
          <w:szCs w:val="21"/>
        </w:rPr>
      </w:pPr>
    </w:p>
    <w:tbl>
      <w:tblPr>
        <w:tblW w:w="896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3000"/>
        <w:gridCol w:w="4200"/>
        <w:gridCol w:w="1760"/>
      </w:tblGrid>
      <w:tr w:rsidR="00542C62" w:rsidRPr="001B6C68" w14:paraId="79662FEC" w14:textId="77777777">
        <w:tc>
          <w:tcPr>
            <w:tcW w:w="30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19AFA927"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Aspecto</w:t>
            </w:r>
          </w:p>
        </w:tc>
        <w:tc>
          <w:tcPr>
            <w:tcW w:w="420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02F90A59"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Detalle</w:t>
            </w:r>
          </w:p>
        </w:tc>
        <w:tc>
          <w:tcPr>
            <w:tcW w:w="1760" w:type="dxa"/>
            <w:tcBorders>
              <w:top w:val="single" w:sz="4" w:space="0" w:color="AAAAAA"/>
              <w:left w:val="single" w:sz="4" w:space="0" w:color="AAAAAA"/>
              <w:bottom w:val="single" w:sz="4" w:space="0" w:color="AAAAAA"/>
              <w:right w:val="single" w:sz="4" w:space="0" w:color="AAAAAA"/>
            </w:tcBorders>
            <w:shd w:val="clear" w:color="auto" w:fill="2E5D8E"/>
            <w:tcMar>
              <w:top w:w="80" w:type="dxa"/>
              <w:left w:w="120" w:type="dxa"/>
              <w:bottom w:w="80" w:type="dxa"/>
              <w:right w:w="120" w:type="dxa"/>
            </w:tcMar>
            <w:vAlign w:val="center"/>
          </w:tcPr>
          <w:p w14:paraId="270EAF42"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FFFFFF"/>
                <w:sz w:val="21"/>
                <w:szCs w:val="21"/>
              </w:rPr>
              <w:t>Estado</w:t>
            </w:r>
          </w:p>
        </w:tc>
      </w:tr>
      <w:tr w:rsidR="00542C62" w:rsidRPr="001B6C68" w14:paraId="18B33B97" w14:textId="77777777">
        <w:tc>
          <w:tcPr>
            <w:tcW w:w="30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6049635F"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 xml:space="preserve">Fase 1 — </w:t>
            </w:r>
            <w:proofErr w:type="gramStart"/>
            <w:r w:rsidRPr="001B6C68">
              <w:rPr>
                <w:rFonts w:ascii="Arial Narrow" w:hAnsi="Arial Narrow"/>
                <w:color w:val="000000"/>
                <w:sz w:val="21"/>
                <w:szCs w:val="21"/>
              </w:rPr>
              <w:t>Diciembre</w:t>
            </w:r>
            <w:proofErr w:type="gramEnd"/>
            <w:r w:rsidRPr="001B6C68">
              <w:rPr>
                <w:rFonts w:ascii="Arial Narrow" w:hAnsi="Arial Narrow"/>
                <w:color w:val="000000"/>
                <w:sz w:val="21"/>
                <w:szCs w:val="21"/>
              </w:rPr>
              <w:t xml:space="preserve"> 2025</w:t>
            </w:r>
          </w:p>
        </w:tc>
        <w:tc>
          <w:tcPr>
            <w:tcW w:w="42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7A763044"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Convocatoria en 15 barrios priorizados. Responsable de la postulación: propietario del predio. SISBÉN A y B. Un cupo por predio.</w:t>
            </w:r>
          </w:p>
        </w:tc>
        <w:tc>
          <w:tcPr>
            <w:tcW w:w="17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23268B1A" w14:textId="4AC8D814" w:rsidR="00542C62" w:rsidRPr="001B6C68" w:rsidRDefault="004B1850">
            <w:pPr>
              <w:spacing w:before="40" w:after="40"/>
              <w:jc w:val="center"/>
              <w:rPr>
                <w:rFonts w:ascii="Arial Narrow" w:hAnsi="Arial Narrow"/>
                <w:sz w:val="21"/>
                <w:szCs w:val="21"/>
              </w:rPr>
            </w:pPr>
            <w:r w:rsidRPr="001B6C68">
              <w:rPr>
                <w:rFonts w:ascii="Arial Narrow" w:hAnsi="Arial Narrow"/>
                <w:color w:val="1A7A1A"/>
                <w:sz w:val="21"/>
                <w:szCs w:val="21"/>
              </w:rPr>
              <w:t>C</w:t>
            </w:r>
            <w:r w:rsidR="00C9261B" w:rsidRPr="001B6C68">
              <w:rPr>
                <w:rFonts w:ascii="Arial Narrow" w:hAnsi="Arial Narrow"/>
                <w:color w:val="1A7A1A"/>
                <w:sz w:val="21"/>
                <w:szCs w:val="21"/>
              </w:rPr>
              <w:t>UMPLIDA</w:t>
            </w:r>
          </w:p>
        </w:tc>
      </w:tr>
      <w:tr w:rsidR="00542C62" w:rsidRPr="001B6C68" w14:paraId="3FBB3E03" w14:textId="77777777">
        <w:tc>
          <w:tcPr>
            <w:tcW w:w="3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2F01CCD9"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 xml:space="preserve">Fase 2 — </w:t>
            </w:r>
            <w:proofErr w:type="gramStart"/>
            <w:r w:rsidRPr="001B6C68">
              <w:rPr>
                <w:rFonts w:ascii="Arial Narrow" w:hAnsi="Arial Narrow"/>
                <w:color w:val="000000"/>
                <w:sz w:val="21"/>
                <w:szCs w:val="21"/>
              </w:rPr>
              <w:t>Abril</w:t>
            </w:r>
            <w:proofErr w:type="gramEnd"/>
            <w:r w:rsidRPr="001B6C68">
              <w:rPr>
                <w:rFonts w:ascii="Arial Narrow" w:hAnsi="Arial Narrow"/>
                <w:color w:val="000000"/>
                <w:sz w:val="21"/>
                <w:szCs w:val="21"/>
              </w:rPr>
              <w:t xml:space="preserve"> 2026</w:t>
            </w:r>
          </w:p>
        </w:tc>
        <w:tc>
          <w:tcPr>
            <w:tcW w:w="4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731C7520"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Convocatoria ampliada a 5 localidades completas. Postulante como potencial beneficiario. SISBÉN A, B y C. Varias cuentas por predio si corresponden a hogares distintos.</w:t>
            </w:r>
          </w:p>
        </w:tc>
        <w:tc>
          <w:tcPr>
            <w:tcW w:w="17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25C633BA" w14:textId="5D8009C4" w:rsidR="00542C62" w:rsidRPr="001B6C68" w:rsidRDefault="00C9261B">
            <w:pPr>
              <w:spacing w:before="40" w:after="40"/>
              <w:jc w:val="center"/>
              <w:rPr>
                <w:rFonts w:ascii="Arial Narrow" w:hAnsi="Arial Narrow"/>
                <w:sz w:val="21"/>
                <w:szCs w:val="21"/>
              </w:rPr>
            </w:pPr>
            <w:r w:rsidRPr="001B6C68">
              <w:rPr>
                <w:rFonts w:ascii="Arial Narrow" w:hAnsi="Arial Narrow"/>
                <w:color w:val="1A7A1A"/>
                <w:sz w:val="21"/>
                <w:szCs w:val="21"/>
              </w:rPr>
              <w:t>EN EJECUCIÓN</w:t>
            </w:r>
          </w:p>
        </w:tc>
      </w:tr>
      <w:tr w:rsidR="00542C62" w:rsidRPr="001B6C68" w14:paraId="44A3379D" w14:textId="77777777">
        <w:tc>
          <w:tcPr>
            <w:tcW w:w="30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0D46D1F5"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Instrumento de convocatoria</w:t>
            </w:r>
          </w:p>
        </w:tc>
        <w:tc>
          <w:tcPr>
            <w:tcW w:w="42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70F167D0"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Protocolo para la postulación al Programa de Comunidades Energéticas — SDHT, Dirección de Servicios Públicos (versión 24 de marzo de 2026).</w:t>
            </w:r>
          </w:p>
        </w:tc>
        <w:tc>
          <w:tcPr>
            <w:tcW w:w="17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78287F29" w14:textId="3FBA5460" w:rsidR="00542C62" w:rsidRPr="001B6C68" w:rsidRDefault="00C9261B">
            <w:pPr>
              <w:spacing w:before="40" w:after="40"/>
              <w:jc w:val="center"/>
              <w:rPr>
                <w:rFonts w:ascii="Arial Narrow" w:hAnsi="Arial Narrow"/>
                <w:sz w:val="21"/>
                <w:szCs w:val="21"/>
              </w:rPr>
            </w:pPr>
            <w:r w:rsidRPr="001B6C68">
              <w:rPr>
                <w:rFonts w:ascii="Arial Narrow" w:hAnsi="Arial Narrow"/>
                <w:color w:val="1A7A1A"/>
                <w:sz w:val="21"/>
                <w:szCs w:val="21"/>
              </w:rPr>
              <w:t>CUMPLIDO</w:t>
            </w:r>
          </w:p>
        </w:tc>
      </w:tr>
      <w:tr w:rsidR="00542C62" w:rsidRPr="001B6C68" w14:paraId="14577522" w14:textId="77777777">
        <w:tc>
          <w:tcPr>
            <w:tcW w:w="3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44995548"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Plataforma digital de inscripción</w:t>
            </w:r>
          </w:p>
        </w:tc>
        <w:tc>
          <w:tcPr>
            <w:tcW w:w="4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49697D6D"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Formulario habilitado en: https://vucapp.habitatbogota.gov.co/comunidad-</w:t>
            </w:r>
            <w:r w:rsidRPr="001B6C68">
              <w:rPr>
                <w:rFonts w:ascii="Arial Narrow" w:hAnsi="Arial Narrow"/>
                <w:color w:val="000000"/>
                <w:sz w:val="21"/>
                <w:szCs w:val="21"/>
              </w:rPr>
              <w:lastRenderedPageBreak/>
              <w:t>energetica-inscripcion</w:t>
            </w:r>
          </w:p>
        </w:tc>
        <w:tc>
          <w:tcPr>
            <w:tcW w:w="1760" w:type="dxa"/>
            <w:tcBorders>
              <w:top w:val="single" w:sz="4" w:space="0" w:color="AAAAAA"/>
              <w:left w:val="single" w:sz="4" w:space="0" w:color="AAAAAA"/>
              <w:bottom w:val="single" w:sz="4" w:space="0" w:color="AAAAAA"/>
              <w:right w:val="single" w:sz="4" w:space="0" w:color="AAAAAA"/>
            </w:tcBorders>
            <w:shd w:val="clear" w:color="auto" w:fill="D4EDDA"/>
            <w:tcMar>
              <w:top w:w="80" w:type="dxa"/>
              <w:left w:w="120" w:type="dxa"/>
              <w:bottom w:w="80" w:type="dxa"/>
              <w:right w:w="120" w:type="dxa"/>
            </w:tcMar>
            <w:vAlign w:val="center"/>
          </w:tcPr>
          <w:p w14:paraId="6EFDA95E" w14:textId="06D94DC7" w:rsidR="00542C62" w:rsidRPr="001B6C68" w:rsidRDefault="00C9261B">
            <w:pPr>
              <w:spacing w:before="40" w:after="40"/>
              <w:jc w:val="center"/>
              <w:rPr>
                <w:rFonts w:ascii="Arial Narrow" w:hAnsi="Arial Narrow"/>
                <w:sz w:val="21"/>
                <w:szCs w:val="21"/>
              </w:rPr>
            </w:pPr>
            <w:r w:rsidRPr="001B6C68">
              <w:rPr>
                <w:rFonts w:ascii="Arial Narrow" w:hAnsi="Arial Narrow"/>
                <w:color w:val="1A7A1A"/>
                <w:sz w:val="21"/>
                <w:szCs w:val="21"/>
              </w:rPr>
              <w:lastRenderedPageBreak/>
              <w:t>CUMPLIDO</w:t>
            </w:r>
          </w:p>
        </w:tc>
      </w:tr>
      <w:tr w:rsidR="00542C62" w:rsidRPr="001B6C68" w14:paraId="507B659F" w14:textId="77777777">
        <w:tc>
          <w:tcPr>
            <w:tcW w:w="30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7A356819"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Meta de beneficiarios (CEFE Tunal)</w:t>
            </w:r>
          </w:p>
        </w:tc>
        <w:tc>
          <w:tcPr>
            <w:tcW w:w="42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6DE7839C" w14:textId="77777777" w:rsidR="00542C62" w:rsidRPr="001B6C68" w:rsidRDefault="004B1850">
            <w:pPr>
              <w:spacing w:before="40" w:after="40"/>
              <w:jc w:val="left"/>
              <w:rPr>
                <w:rFonts w:ascii="Arial Narrow" w:hAnsi="Arial Narrow"/>
                <w:sz w:val="21"/>
                <w:szCs w:val="21"/>
              </w:rPr>
            </w:pPr>
            <w:r w:rsidRPr="001B6C68">
              <w:rPr>
                <w:rFonts w:ascii="Arial Narrow" w:hAnsi="Arial Narrow"/>
                <w:color w:val="000000"/>
                <w:sz w:val="21"/>
                <w:szCs w:val="21"/>
              </w:rPr>
              <w:t>1.000 personas naturales. Distribución proporcional por localidad conforme a participación de hogares SISBÉN A, B y C.</w:t>
            </w:r>
          </w:p>
        </w:tc>
        <w:tc>
          <w:tcPr>
            <w:tcW w:w="1760" w:type="dxa"/>
            <w:tcBorders>
              <w:top w:val="single" w:sz="4" w:space="0" w:color="AAAAAA"/>
              <w:left w:val="single" w:sz="4" w:space="0" w:color="AAAAAA"/>
              <w:bottom w:val="single" w:sz="4" w:space="0" w:color="AAAAAA"/>
              <w:right w:val="single" w:sz="4" w:space="0" w:color="AAAAAA"/>
            </w:tcBorders>
            <w:shd w:val="clear" w:color="auto" w:fill="D0E4F5"/>
            <w:tcMar>
              <w:top w:w="80" w:type="dxa"/>
              <w:left w:w="120" w:type="dxa"/>
              <w:bottom w:w="80" w:type="dxa"/>
              <w:right w:w="120" w:type="dxa"/>
            </w:tcMar>
            <w:vAlign w:val="center"/>
          </w:tcPr>
          <w:p w14:paraId="65B0F387" w14:textId="77777777" w:rsidR="00542C62" w:rsidRPr="001B6C68" w:rsidRDefault="004B1850">
            <w:pPr>
              <w:spacing w:before="40" w:after="40"/>
              <w:jc w:val="center"/>
              <w:rPr>
                <w:rFonts w:ascii="Arial Narrow" w:hAnsi="Arial Narrow"/>
                <w:sz w:val="21"/>
                <w:szCs w:val="21"/>
              </w:rPr>
            </w:pPr>
            <w:r w:rsidRPr="001B6C68">
              <w:rPr>
                <w:rFonts w:ascii="Arial Narrow" w:hAnsi="Arial Narrow"/>
                <w:color w:val="1A5C8A"/>
                <w:sz w:val="21"/>
                <w:szCs w:val="21"/>
              </w:rPr>
              <w:t>EN SEGUIMIENTO</w:t>
            </w:r>
          </w:p>
        </w:tc>
      </w:tr>
      <w:tr w:rsidR="00E2246A" w:rsidRPr="001B6C68" w14:paraId="71EF9E2C" w14:textId="77777777" w:rsidTr="00E2246A">
        <w:tc>
          <w:tcPr>
            <w:tcW w:w="3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28F66DF6" w14:textId="77777777" w:rsidR="00E2246A" w:rsidRPr="00E2246A" w:rsidRDefault="00E2246A" w:rsidP="00E2246A">
            <w:pPr>
              <w:spacing w:before="40" w:after="40"/>
              <w:jc w:val="left"/>
              <w:rPr>
                <w:rFonts w:ascii="Arial Narrow" w:hAnsi="Arial Narrow"/>
                <w:color w:val="000000"/>
                <w:sz w:val="21"/>
                <w:szCs w:val="21"/>
              </w:rPr>
            </w:pPr>
            <w:r w:rsidRPr="001B6C68">
              <w:rPr>
                <w:rFonts w:ascii="Arial Narrow" w:hAnsi="Arial Narrow"/>
                <w:color w:val="000000"/>
                <w:sz w:val="21"/>
                <w:szCs w:val="21"/>
              </w:rPr>
              <w:t>Validación de postulantes y subsanación</w:t>
            </w:r>
          </w:p>
        </w:tc>
        <w:tc>
          <w:tcPr>
            <w:tcW w:w="4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10E5511C" w14:textId="77777777" w:rsidR="00E2246A" w:rsidRPr="00E2246A" w:rsidRDefault="00E2246A" w:rsidP="00E2246A">
            <w:pPr>
              <w:spacing w:before="40" w:after="40"/>
              <w:jc w:val="left"/>
              <w:rPr>
                <w:rFonts w:ascii="Arial Narrow" w:hAnsi="Arial Narrow"/>
                <w:color w:val="000000"/>
                <w:sz w:val="21"/>
                <w:szCs w:val="21"/>
              </w:rPr>
            </w:pPr>
            <w:r w:rsidRPr="001B6C68">
              <w:rPr>
                <w:rFonts w:ascii="Arial Narrow" w:hAnsi="Arial Narrow"/>
                <w:color w:val="000000"/>
                <w:sz w:val="21"/>
                <w:szCs w:val="21"/>
              </w:rPr>
              <w:t>En proceso de revisión y validación por la SDHT. Subsanación aplicada a postulaciones con información incompleta.</w:t>
            </w:r>
          </w:p>
        </w:tc>
        <w:tc>
          <w:tcPr>
            <w:tcW w:w="1760" w:type="dxa"/>
            <w:tcBorders>
              <w:top w:val="single" w:sz="4" w:space="0" w:color="AAAAAA"/>
              <w:left w:val="single" w:sz="4" w:space="0" w:color="AAAAAA"/>
              <w:bottom w:val="single" w:sz="4" w:space="0" w:color="AAAAAA"/>
              <w:right w:val="single" w:sz="4" w:space="0" w:color="AAAAAA"/>
            </w:tcBorders>
            <w:shd w:val="clear" w:color="auto" w:fill="C2D69B" w:themeFill="accent3" w:themeFillTint="99"/>
            <w:tcMar>
              <w:top w:w="80" w:type="dxa"/>
              <w:left w:w="120" w:type="dxa"/>
              <w:bottom w:w="80" w:type="dxa"/>
              <w:right w:w="120" w:type="dxa"/>
            </w:tcMar>
            <w:vAlign w:val="center"/>
          </w:tcPr>
          <w:p w14:paraId="48655160" w14:textId="221F1D31" w:rsidR="00E2246A" w:rsidRPr="00E2246A" w:rsidRDefault="00E2246A" w:rsidP="00E2246A">
            <w:pPr>
              <w:spacing w:before="40" w:after="40"/>
              <w:jc w:val="center"/>
              <w:rPr>
                <w:rFonts w:ascii="Arial Narrow" w:hAnsi="Arial Narrow"/>
                <w:color w:val="000000"/>
                <w:sz w:val="21"/>
                <w:szCs w:val="21"/>
              </w:rPr>
            </w:pPr>
            <w:r w:rsidRPr="00E2246A">
              <w:rPr>
                <w:rFonts w:ascii="Arial Narrow" w:hAnsi="Arial Narrow"/>
                <w:color w:val="00B050"/>
                <w:sz w:val="21"/>
                <w:szCs w:val="21"/>
              </w:rPr>
              <w:t>CUMPLIDO</w:t>
            </w:r>
          </w:p>
        </w:tc>
      </w:tr>
      <w:tr w:rsidR="00E2246A" w:rsidRPr="001B6C68" w14:paraId="4FE4EF46" w14:textId="77777777">
        <w:tc>
          <w:tcPr>
            <w:tcW w:w="30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1093F712" w14:textId="77777777" w:rsidR="00E2246A" w:rsidRPr="001B6C68" w:rsidRDefault="00E2246A" w:rsidP="00E2246A">
            <w:pPr>
              <w:spacing w:before="40" w:after="40"/>
              <w:jc w:val="left"/>
              <w:rPr>
                <w:rFonts w:ascii="Arial Narrow" w:hAnsi="Arial Narrow"/>
                <w:sz w:val="21"/>
                <w:szCs w:val="21"/>
              </w:rPr>
            </w:pPr>
            <w:r w:rsidRPr="001B6C68">
              <w:rPr>
                <w:rFonts w:ascii="Arial Narrow" w:hAnsi="Arial Narrow"/>
                <w:color w:val="000000"/>
                <w:sz w:val="21"/>
                <w:szCs w:val="21"/>
              </w:rPr>
              <w:t>Curso Escuela de Transición Energética Justa (MME)</w:t>
            </w:r>
          </w:p>
        </w:tc>
        <w:tc>
          <w:tcPr>
            <w:tcW w:w="4200" w:type="dxa"/>
            <w:tcBorders>
              <w:top w:val="single" w:sz="4" w:space="0" w:color="AAAAAA"/>
              <w:left w:val="single" w:sz="4" w:space="0" w:color="AAAAAA"/>
              <w:bottom w:val="single" w:sz="4" w:space="0" w:color="AAAAAA"/>
              <w:right w:val="single" w:sz="4" w:space="0" w:color="AAAAAA"/>
            </w:tcBorders>
            <w:shd w:val="clear" w:color="auto" w:fill="F2F2F2"/>
            <w:tcMar>
              <w:top w:w="80" w:type="dxa"/>
              <w:left w:w="120" w:type="dxa"/>
              <w:bottom w:w="80" w:type="dxa"/>
              <w:right w:w="120" w:type="dxa"/>
            </w:tcMar>
            <w:vAlign w:val="center"/>
          </w:tcPr>
          <w:p w14:paraId="177A3566" w14:textId="77777777" w:rsidR="00E2246A" w:rsidRPr="001B6C68" w:rsidRDefault="00E2246A" w:rsidP="00E2246A">
            <w:pPr>
              <w:spacing w:before="40" w:after="40"/>
              <w:jc w:val="left"/>
              <w:rPr>
                <w:rFonts w:ascii="Arial Narrow" w:hAnsi="Arial Narrow"/>
                <w:sz w:val="21"/>
                <w:szCs w:val="21"/>
              </w:rPr>
            </w:pPr>
            <w:r w:rsidRPr="001B6C68">
              <w:rPr>
                <w:rFonts w:ascii="Arial Narrow" w:hAnsi="Arial Narrow"/>
                <w:color w:val="000000"/>
                <w:sz w:val="21"/>
                <w:szCs w:val="21"/>
              </w:rPr>
              <w:t>Requisito habilitante para los beneficiarios seleccionados, previo a la suscripción del convenio asociativo.</w:t>
            </w:r>
          </w:p>
        </w:tc>
        <w:tc>
          <w:tcPr>
            <w:tcW w:w="1760" w:type="dxa"/>
            <w:tcBorders>
              <w:top w:val="single" w:sz="4" w:space="0" w:color="AAAAAA"/>
              <w:left w:val="single" w:sz="4" w:space="0" w:color="AAAAAA"/>
              <w:bottom w:val="single" w:sz="4" w:space="0" w:color="AAAAAA"/>
              <w:right w:val="single" w:sz="4" w:space="0" w:color="AAAAAA"/>
            </w:tcBorders>
            <w:shd w:val="clear" w:color="auto" w:fill="D0E4F5"/>
            <w:tcMar>
              <w:top w:w="80" w:type="dxa"/>
              <w:left w:w="120" w:type="dxa"/>
              <w:bottom w:w="80" w:type="dxa"/>
              <w:right w:w="120" w:type="dxa"/>
            </w:tcMar>
            <w:vAlign w:val="center"/>
          </w:tcPr>
          <w:p w14:paraId="465F44F3" w14:textId="77777777" w:rsidR="00E2246A" w:rsidRPr="001B6C68" w:rsidRDefault="00E2246A" w:rsidP="00E2246A">
            <w:pPr>
              <w:spacing w:before="40" w:after="40"/>
              <w:jc w:val="center"/>
              <w:rPr>
                <w:rFonts w:ascii="Arial Narrow" w:hAnsi="Arial Narrow"/>
                <w:sz w:val="21"/>
                <w:szCs w:val="21"/>
              </w:rPr>
            </w:pPr>
            <w:r w:rsidRPr="001B6C68">
              <w:rPr>
                <w:rFonts w:ascii="Arial Narrow" w:hAnsi="Arial Narrow"/>
                <w:color w:val="1A5C8A"/>
                <w:sz w:val="21"/>
                <w:szCs w:val="21"/>
              </w:rPr>
              <w:t>EN SEGUIMIENTO</w:t>
            </w:r>
          </w:p>
        </w:tc>
      </w:tr>
      <w:tr w:rsidR="00E2246A" w:rsidRPr="001B6C68" w14:paraId="4EB3ABA6" w14:textId="77777777">
        <w:tc>
          <w:tcPr>
            <w:tcW w:w="30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1CBC37D5" w14:textId="77777777" w:rsidR="00E2246A" w:rsidRPr="001B6C68" w:rsidRDefault="00E2246A" w:rsidP="00E2246A">
            <w:pPr>
              <w:spacing w:before="40" w:after="40"/>
              <w:jc w:val="left"/>
              <w:rPr>
                <w:rFonts w:ascii="Arial Narrow" w:hAnsi="Arial Narrow"/>
                <w:sz w:val="21"/>
                <w:szCs w:val="21"/>
              </w:rPr>
            </w:pPr>
            <w:r w:rsidRPr="001B6C68">
              <w:rPr>
                <w:rFonts w:ascii="Arial Narrow" w:hAnsi="Arial Narrow"/>
                <w:color w:val="000000"/>
                <w:sz w:val="21"/>
                <w:szCs w:val="21"/>
              </w:rPr>
              <w:t>Registro ante el Ministerio de Minas y Energía</w:t>
            </w:r>
          </w:p>
        </w:tc>
        <w:tc>
          <w:tcPr>
            <w:tcW w:w="420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20" w:type="dxa"/>
              <w:bottom w:w="80" w:type="dxa"/>
              <w:right w:w="120" w:type="dxa"/>
            </w:tcMar>
            <w:vAlign w:val="center"/>
          </w:tcPr>
          <w:p w14:paraId="7BB6B354" w14:textId="59897CAB" w:rsidR="00E2246A" w:rsidRPr="001B6C68" w:rsidRDefault="00E2246A" w:rsidP="00E2246A">
            <w:pPr>
              <w:spacing w:before="40" w:after="40"/>
              <w:jc w:val="left"/>
              <w:rPr>
                <w:rFonts w:ascii="Arial Narrow" w:hAnsi="Arial Narrow"/>
                <w:sz w:val="21"/>
                <w:szCs w:val="21"/>
              </w:rPr>
            </w:pPr>
            <w:r w:rsidRPr="001B6C68">
              <w:rPr>
                <w:rFonts w:ascii="Arial Narrow" w:hAnsi="Arial Narrow"/>
                <w:color w:val="000000"/>
                <w:sz w:val="21"/>
                <w:szCs w:val="21"/>
              </w:rPr>
              <w:t>Pendiente, una vez suscrito el documento asociativo.</w:t>
            </w:r>
          </w:p>
        </w:tc>
        <w:tc>
          <w:tcPr>
            <w:tcW w:w="1760" w:type="dxa"/>
            <w:tcBorders>
              <w:top w:val="single" w:sz="4" w:space="0" w:color="AAAAAA"/>
              <w:left w:val="single" w:sz="4" w:space="0" w:color="AAAAAA"/>
              <w:bottom w:val="single" w:sz="4" w:space="0" w:color="AAAAAA"/>
              <w:right w:val="single" w:sz="4" w:space="0" w:color="AAAAAA"/>
            </w:tcBorders>
            <w:shd w:val="clear" w:color="auto" w:fill="F5D0D0"/>
            <w:tcMar>
              <w:top w:w="80" w:type="dxa"/>
              <w:left w:w="120" w:type="dxa"/>
              <w:bottom w:w="80" w:type="dxa"/>
              <w:right w:w="120" w:type="dxa"/>
            </w:tcMar>
            <w:vAlign w:val="center"/>
          </w:tcPr>
          <w:p w14:paraId="2B0A8C43" w14:textId="77777777" w:rsidR="00E2246A" w:rsidRPr="001B6C68" w:rsidRDefault="00E2246A" w:rsidP="00E2246A">
            <w:pPr>
              <w:spacing w:before="40" w:after="40"/>
              <w:jc w:val="center"/>
              <w:rPr>
                <w:rFonts w:ascii="Arial Narrow" w:hAnsi="Arial Narrow"/>
                <w:sz w:val="21"/>
                <w:szCs w:val="21"/>
              </w:rPr>
            </w:pPr>
            <w:r w:rsidRPr="001B6C68">
              <w:rPr>
                <w:rFonts w:ascii="Arial Narrow" w:hAnsi="Arial Narrow"/>
                <w:color w:val="8A1A1A"/>
                <w:sz w:val="21"/>
                <w:szCs w:val="21"/>
              </w:rPr>
              <w:t>PENDIENTE</w:t>
            </w:r>
          </w:p>
        </w:tc>
      </w:tr>
    </w:tbl>
    <w:p w14:paraId="5DCCD9D1" w14:textId="77777777" w:rsidR="00542C62" w:rsidRPr="001B6C68" w:rsidRDefault="00542C62">
      <w:pPr>
        <w:rPr>
          <w:rFonts w:ascii="Arial Narrow" w:hAnsi="Arial Narrow"/>
          <w:sz w:val="21"/>
          <w:szCs w:val="21"/>
        </w:rPr>
      </w:pPr>
    </w:p>
    <w:p w14:paraId="16CD10F4" w14:textId="77777777" w:rsidR="00542C62" w:rsidRPr="001B6C68" w:rsidRDefault="004B1850">
      <w:pPr>
        <w:spacing w:before="100" w:after="100"/>
        <w:rPr>
          <w:rFonts w:ascii="Arial Narrow" w:hAnsi="Arial Narrow"/>
          <w:sz w:val="21"/>
          <w:szCs w:val="21"/>
        </w:rPr>
      </w:pPr>
      <w:r w:rsidRPr="001B6C68">
        <w:rPr>
          <w:rFonts w:ascii="Arial Narrow" w:hAnsi="Arial Narrow"/>
          <w:color w:val="000000"/>
          <w:sz w:val="21"/>
          <w:szCs w:val="21"/>
          <w:lang w:val="es-CO"/>
        </w:rPr>
        <w:t>El equipo de apoyo a la supervisión realizará seguimiento permanente a la conclusión del proceso de selección de beneficiarios, suscripción del documento asociativo y registro de la comunidad energética ante el MME, reportando su avance en los comités quincenales del convenio y en los informes de seguimiento subsiguientes.</w:t>
      </w:r>
    </w:p>
    <w:p w14:paraId="541014F1" w14:textId="77777777" w:rsidR="00542C62" w:rsidRPr="001B6C68" w:rsidRDefault="00542C62">
      <w:pPr>
        <w:rPr>
          <w:rFonts w:ascii="Arial Narrow" w:hAnsi="Arial Narrow"/>
          <w:sz w:val="21"/>
          <w:szCs w:val="21"/>
        </w:rPr>
      </w:pPr>
    </w:p>
    <w:p w14:paraId="08003327" w14:textId="77777777" w:rsidR="00542C62" w:rsidRPr="001B6C68" w:rsidRDefault="004B1850">
      <w:pPr>
        <w:pBdr>
          <w:bottom w:val="single" w:sz="8" w:space="4" w:color="2E5D8E"/>
        </w:pBdr>
        <w:shd w:val="clear" w:color="auto" w:fill="EBF2FA"/>
        <w:spacing w:before="280"/>
        <w:jc w:val="left"/>
        <w:rPr>
          <w:rFonts w:ascii="Arial Narrow" w:hAnsi="Arial Narrow"/>
          <w:sz w:val="21"/>
          <w:szCs w:val="21"/>
        </w:rPr>
      </w:pPr>
      <w:r w:rsidRPr="001B6C68">
        <w:rPr>
          <w:rFonts w:ascii="Arial Narrow" w:hAnsi="Arial Narrow"/>
          <w:color w:val="2E5D8E"/>
          <w:sz w:val="21"/>
          <w:szCs w:val="21"/>
          <w:lang w:val="es-CO"/>
        </w:rPr>
        <w:t>VI. CONCLUSIONES Y RECOMENDACIONES</w:t>
      </w:r>
    </w:p>
    <w:p w14:paraId="0AB70B3B" w14:textId="77777777" w:rsidR="00542C62" w:rsidRPr="001B6C68" w:rsidRDefault="00542C62">
      <w:pPr>
        <w:rPr>
          <w:rFonts w:ascii="Arial Narrow" w:hAnsi="Arial Narrow"/>
          <w:sz w:val="21"/>
          <w:szCs w:val="21"/>
        </w:rPr>
      </w:pPr>
    </w:p>
    <w:p w14:paraId="2B36826B" w14:textId="77777777" w:rsidR="00542C62" w:rsidRPr="001B6C68" w:rsidRDefault="004B1850" w:rsidP="00E2246A">
      <w:pPr>
        <w:spacing w:before="200"/>
        <w:rPr>
          <w:rFonts w:ascii="Arial Narrow" w:hAnsi="Arial Narrow"/>
          <w:sz w:val="21"/>
          <w:szCs w:val="21"/>
        </w:rPr>
      </w:pPr>
      <w:r w:rsidRPr="001B6C68">
        <w:rPr>
          <w:rFonts w:ascii="Arial Narrow" w:hAnsi="Arial Narrow"/>
          <w:color w:val="2E5D8E"/>
          <w:sz w:val="21"/>
          <w:szCs w:val="21"/>
          <w:lang w:val="es-CO"/>
        </w:rPr>
        <w:t>6.1 Conclusiones</w:t>
      </w:r>
    </w:p>
    <w:p w14:paraId="65360E3F" w14:textId="77777777" w:rsidR="00542C62" w:rsidRPr="001B6C68" w:rsidRDefault="004B1850" w:rsidP="00E2246A">
      <w:pPr>
        <w:rPr>
          <w:rFonts w:ascii="Arial Narrow" w:hAnsi="Arial Narrow"/>
          <w:sz w:val="21"/>
          <w:szCs w:val="21"/>
        </w:rPr>
      </w:pPr>
      <w:r w:rsidRPr="001B6C68">
        <w:rPr>
          <w:rFonts w:ascii="Arial Narrow" w:hAnsi="Arial Narrow"/>
          <w:color w:val="000000"/>
          <w:sz w:val="21"/>
          <w:szCs w:val="21"/>
          <w:lang w:val="es-CO"/>
        </w:rPr>
        <w:t>Del análisis efectuado con corte a mayo de 2026, el equipo de apoyo a la supervisión concluye:</w:t>
      </w:r>
    </w:p>
    <w:p w14:paraId="65CD7CBF" w14:textId="77777777" w:rsidR="00542C62" w:rsidRPr="001B6C68" w:rsidRDefault="004B1850" w:rsidP="00E2246A">
      <w:pPr>
        <w:numPr>
          <w:ilvl w:val="0"/>
          <w:numId w:val="3"/>
        </w:numPr>
        <w:spacing w:before="60" w:after="60"/>
        <w:rPr>
          <w:rFonts w:ascii="Arial Narrow" w:hAnsi="Arial Narrow"/>
          <w:sz w:val="21"/>
          <w:szCs w:val="21"/>
        </w:rPr>
      </w:pPr>
      <w:r w:rsidRPr="001B6C68">
        <w:rPr>
          <w:rFonts w:ascii="Arial Narrow" w:hAnsi="Arial Narrow"/>
          <w:sz w:val="21"/>
          <w:szCs w:val="21"/>
          <w:lang w:val="es-CO"/>
        </w:rPr>
        <w:t>La Sesión de Inicio del 24 de abril de 2026 se llevó a cabo conforme al numeral 3.1.9.1 del MOMOI, verificándose el cumplimiento de todos los requisitos formales de inicio.</w:t>
      </w:r>
    </w:p>
    <w:p w14:paraId="1737A0E1" w14:textId="77777777" w:rsidR="00542C62" w:rsidRPr="001B6C68" w:rsidRDefault="004B1850" w:rsidP="00E2246A">
      <w:pPr>
        <w:numPr>
          <w:ilvl w:val="0"/>
          <w:numId w:val="3"/>
        </w:numPr>
        <w:spacing w:before="60" w:after="60"/>
        <w:rPr>
          <w:rFonts w:ascii="Arial Narrow" w:hAnsi="Arial Narrow"/>
          <w:sz w:val="21"/>
          <w:szCs w:val="21"/>
        </w:rPr>
      </w:pPr>
      <w:r w:rsidRPr="001B6C68">
        <w:rPr>
          <w:rFonts w:ascii="Arial Narrow" w:hAnsi="Arial Narrow"/>
          <w:sz w:val="21"/>
          <w:szCs w:val="21"/>
          <w:lang w:val="es-CO"/>
        </w:rPr>
        <w:t>El cronograma de hitos fue aprobado por la SDHT como línea base oficial. Los hitos de puesta en operación de los SSFV (11/09/2026) y cierre (15/11/2026) son anteriores al vencimiento del convenio (26/02/2027).</w:t>
      </w:r>
    </w:p>
    <w:p w14:paraId="4C238405" w14:textId="347879ED" w:rsidR="00542C62" w:rsidRPr="001123E5" w:rsidRDefault="004B1850" w:rsidP="00E2246A">
      <w:pPr>
        <w:numPr>
          <w:ilvl w:val="0"/>
          <w:numId w:val="3"/>
        </w:numPr>
        <w:spacing w:before="60" w:after="60"/>
        <w:rPr>
          <w:rFonts w:ascii="Arial Narrow" w:hAnsi="Arial Narrow"/>
          <w:sz w:val="21"/>
          <w:szCs w:val="21"/>
        </w:rPr>
      </w:pPr>
      <w:r w:rsidRPr="001123E5">
        <w:rPr>
          <w:rFonts w:ascii="Arial Narrow" w:hAnsi="Arial Narrow"/>
          <w:sz w:val="21"/>
          <w:szCs w:val="21"/>
          <w:lang w:val="es-CO"/>
        </w:rPr>
        <w:t xml:space="preserve">Todos los requisitos previos de obra </w:t>
      </w:r>
      <w:r w:rsidR="00C9261B" w:rsidRPr="001123E5">
        <w:rPr>
          <w:rFonts w:ascii="Arial Narrow" w:hAnsi="Arial Narrow"/>
          <w:sz w:val="21"/>
          <w:szCs w:val="21"/>
          <w:lang w:val="es-CO"/>
        </w:rPr>
        <w:t xml:space="preserve">relacionada a los sistemas solares fotovoltaicos </w:t>
      </w:r>
      <w:r w:rsidR="001123E5" w:rsidRPr="001123E5">
        <w:rPr>
          <w:rFonts w:ascii="Arial Narrow" w:hAnsi="Arial Narrow"/>
          <w:sz w:val="21"/>
          <w:szCs w:val="21"/>
          <w:lang w:val="es-CO"/>
        </w:rPr>
        <w:t>ante el IDRD se han cumplido.</w:t>
      </w:r>
      <w:r w:rsidR="001123E5">
        <w:rPr>
          <w:rFonts w:ascii="Arial Narrow" w:hAnsi="Arial Narrow"/>
          <w:sz w:val="21"/>
          <w:szCs w:val="21"/>
          <w:lang w:val="es-CO"/>
        </w:rPr>
        <w:t xml:space="preserve"> </w:t>
      </w:r>
      <w:r w:rsidR="001123E5" w:rsidRPr="001123E5">
        <w:rPr>
          <w:rFonts w:ascii="Arial Narrow" w:hAnsi="Arial Narrow"/>
          <w:sz w:val="21"/>
          <w:szCs w:val="21"/>
          <w:lang w:val="es-CO"/>
        </w:rPr>
        <w:t xml:space="preserve">Se han presentado solicitudes por parte del IDRD que han sido resueltas por el grupo de Energía </w:t>
      </w:r>
      <w:r w:rsidR="001123E5" w:rsidRPr="001123E5">
        <w:rPr>
          <w:rFonts w:ascii="Arial Narrow" w:hAnsi="Arial Narrow"/>
          <w:sz w:val="21"/>
          <w:szCs w:val="21"/>
          <w:lang w:val="es-CO"/>
        </w:rPr>
        <w:lastRenderedPageBreak/>
        <w:t>de Bogotá y su contratista.</w:t>
      </w:r>
    </w:p>
    <w:p w14:paraId="00C0F606" w14:textId="7BDBCCBD" w:rsidR="00542C62" w:rsidRPr="001B6C68" w:rsidRDefault="004B1850" w:rsidP="00C9261B">
      <w:pPr>
        <w:numPr>
          <w:ilvl w:val="0"/>
          <w:numId w:val="3"/>
        </w:numPr>
        <w:spacing w:before="60" w:after="60"/>
        <w:rPr>
          <w:rFonts w:ascii="Arial Narrow" w:hAnsi="Arial Narrow"/>
          <w:sz w:val="21"/>
          <w:szCs w:val="21"/>
        </w:rPr>
      </w:pPr>
      <w:r w:rsidRPr="001B6C68">
        <w:rPr>
          <w:rFonts w:ascii="Arial Narrow" w:hAnsi="Arial Narrow"/>
          <w:sz w:val="21"/>
          <w:szCs w:val="21"/>
          <w:lang w:val="es-CO"/>
        </w:rPr>
        <w:t xml:space="preserve">El componente de comunidades energéticas </w:t>
      </w:r>
      <w:r w:rsidR="00C9261B" w:rsidRPr="001B6C68">
        <w:rPr>
          <w:rFonts w:ascii="Arial Narrow" w:hAnsi="Arial Narrow"/>
          <w:sz w:val="21"/>
          <w:szCs w:val="21"/>
          <w:lang w:val="es-CO"/>
        </w:rPr>
        <w:t>continua en ejecución conforme avance el proceso de Convocatoria de beneficiarios.</w:t>
      </w:r>
    </w:p>
    <w:p w14:paraId="499362CA" w14:textId="77777777" w:rsidR="00542C62" w:rsidRPr="001B6C68" w:rsidRDefault="004B1850" w:rsidP="00C9261B">
      <w:pPr>
        <w:numPr>
          <w:ilvl w:val="0"/>
          <w:numId w:val="3"/>
        </w:numPr>
        <w:spacing w:before="60" w:after="60"/>
        <w:rPr>
          <w:rFonts w:ascii="Arial Narrow" w:hAnsi="Arial Narrow"/>
          <w:sz w:val="21"/>
          <w:szCs w:val="21"/>
        </w:rPr>
      </w:pPr>
      <w:r w:rsidRPr="001B6C68">
        <w:rPr>
          <w:rFonts w:ascii="Arial Narrow" w:hAnsi="Arial Narrow"/>
          <w:sz w:val="21"/>
          <w:szCs w:val="21"/>
          <w:lang w:val="es-CO"/>
        </w:rPr>
        <w:t>El Informe Mensual de Seguimiento de mayo de 2026 (Código ADM-0003-0, radicado SIGA 1-2026-31175 del 5 de junio de 2026) fue recibido y revisado por la SDHT, que remitió observaciones mediante oficio 2-2026-46452 del 30 de junio de 2026.</w:t>
      </w:r>
    </w:p>
    <w:p w14:paraId="3641C6DC" w14:textId="77777777" w:rsidR="00542C62" w:rsidRPr="001B6C68" w:rsidRDefault="004B1850" w:rsidP="00C9261B">
      <w:pPr>
        <w:numPr>
          <w:ilvl w:val="0"/>
          <w:numId w:val="3"/>
        </w:numPr>
        <w:spacing w:before="60" w:after="60"/>
        <w:rPr>
          <w:rFonts w:ascii="Arial Narrow" w:hAnsi="Arial Narrow"/>
          <w:sz w:val="21"/>
          <w:szCs w:val="21"/>
        </w:rPr>
      </w:pPr>
      <w:r w:rsidRPr="001B6C68">
        <w:rPr>
          <w:rFonts w:ascii="Arial Narrow" w:hAnsi="Arial Narrow"/>
          <w:sz w:val="21"/>
          <w:szCs w:val="21"/>
          <w:lang w:val="es-CO"/>
        </w:rPr>
        <w:t>Ambos CEFE registran desviaciones negativas de cronograma al corte del 29 de mayo de 2026 (-19% Tunal, -18% San Cristóbal), asociadas a la pendiente aprobación formal de los diseños del sistema solar; la SDHT precisó que dicha demora obedece, en buena parte, a la entrega incompleta, extemporánea y con sucesivas subsanaciones de la información técnica por parte del Contribuyente (GEB Enlaza), y no exclusivamente a los tiempos de revisión de las entidades.</w:t>
      </w:r>
    </w:p>
    <w:p w14:paraId="1476B9D8" w14:textId="77777777" w:rsidR="00542C62" w:rsidRPr="001B6C68" w:rsidRDefault="004B1850" w:rsidP="00C9261B">
      <w:pPr>
        <w:numPr>
          <w:ilvl w:val="0"/>
          <w:numId w:val="3"/>
        </w:numPr>
        <w:spacing w:before="60" w:after="60"/>
        <w:rPr>
          <w:rFonts w:ascii="Arial Narrow" w:hAnsi="Arial Narrow"/>
          <w:sz w:val="21"/>
          <w:szCs w:val="21"/>
        </w:rPr>
      </w:pPr>
      <w:r w:rsidRPr="001B6C68">
        <w:rPr>
          <w:rFonts w:ascii="Arial Narrow" w:hAnsi="Arial Narrow"/>
          <w:sz w:val="21"/>
          <w:szCs w:val="21"/>
          <w:lang w:val="es-CO"/>
        </w:rPr>
        <w:t>Persiste riesgo de desplazamiento del plazo contractual del Contrato Ejecutor (vencimiento: 12 de septiembre de 2026) si no se resuelve de manera inmediata la aprobación de los diseños técnicos del sistema solar en cubierta, componente crítico de ruta en ambos frentes.</w:t>
      </w:r>
    </w:p>
    <w:p w14:paraId="29C457BB" w14:textId="77777777" w:rsidR="00542C62" w:rsidRPr="001B6C68" w:rsidRDefault="004B1850" w:rsidP="00C9261B">
      <w:pPr>
        <w:numPr>
          <w:ilvl w:val="0"/>
          <w:numId w:val="3"/>
        </w:numPr>
        <w:spacing w:before="60" w:after="60"/>
        <w:rPr>
          <w:rFonts w:ascii="Arial Narrow" w:hAnsi="Arial Narrow"/>
          <w:sz w:val="21"/>
          <w:szCs w:val="21"/>
        </w:rPr>
      </w:pPr>
      <w:r w:rsidRPr="001B6C68">
        <w:rPr>
          <w:rFonts w:ascii="Arial Narrow" w:hAnsi="Arial Narrow"/>
          <w:sz w:val="21"/>
          <w:szCs w:val="21"/>
          <w:lang w:val="es-CO"/>
        </w:rPr>
        <w:t>La SDHT formuló recomendaciones puntuales sobre soportes documentales de la gestión ambiental (almacenamiento de herramientas y equipos, protección de sumideros, RESPEL, trazabilidad del recurso hídrico, autorizaciones de D3A y Plan de Gestión Integral de Residuos), que deberán atenderse en los próximos informes mensuales del Contribuyente.</w:t>
      </w:r>
    </w:p>
    <w:p w14:paraId="055C68BF" w14:textId="77777777" w:rsidR="00C9261B" w:rsidRPr="001B6C68" w:rsidRDefault="00C9261B" w:rsidP="00C9261B">
      <w:pPr>
        <w:spacing w:before="60" w:after="60"/>
        <w:rPr>
          <w:rFonts w:ascii="Arial Narrow" w:hAnsi="Arial Narrow"/>
          <w:sz w:val="21"/>
          <w:szCs w:val="21"/>
        </w:rPr>
      </w:pPr>
    </w:p>
    <w:p w14:paraId="72E4F386" w14:textId="3D04CCE4" w:rsidR="00C9261B" w:rsidRPr="001B6C68" w:rsidRDefault="00C9261B" w:rsidP="00C9261B">
      <w:pPr>
        <w:rPr>
          <w:rFonts w:ascii="Arial Narrow" w:hAnsi="Arial Narrow"/>
          <w:sz w:val="21"/>
          <w:szCs w:val="21"/>
        </w:rPr>
      </w:pPr>
      <w:r w:rsidRPr="001B6C68">
        <w:rPr>
          <w:rFonts w:ascii="Arial Narrow" w:hAnsi="Arial Narrow"/>
          <w:sz w:val="21"/>
          <w:szCs w:val="21"/>
        </w:rPr>
        <w:t xml:space="preserve">Equipo Técnico Apoyo a la Supervisión: </w:t>
      </w:r>
    </w:p>
    <w:p w14:paraId="545F482D" w14:textId="77777777" w:rsidR="00C9261B" w:rsidRPr="001B6C68" w:rsidRDefault="00C9261B" w:rsidP="00C9261B">
      <w:pPr>
        <w:rPr>
          <w:rFonts w:ascii="Arial Narrow" w:hAnsi="Arial Narrow"/>
          <w:sz w:val="21"/>
          <w:szCs w:val="21"/>
        </w:rPr>
      </w:pPr>
    </w:p>
    <w:p w14:paraId="6660C0C9" w14:textId="77777777" w:rsidR="00C9261B" w:rsidRPr="001B6C68" w:rsidRDefault="00C9261B" w:rsidP="00C9261B">
      <w:pPr>
        <w:rPr>
          <w:rFonts w:ascii="Arial Narrow" w:hAnsi="Arial Narrow"/>
          <w:sz w:val="21"/>
          <w:szCs w:val="21"/>
        </w:rPr>
      </w:pPr>
    </w:p>
    <w:p w14:paraId="28D0C214" w14:textId="77777777" w:rsidR="00C9261B" w:rsidRPr="001B6C68" w:rsidRDefault="00C9261B" w:rsidP="00C9261B">
      <w:pPr>
        <w:spacing w:before="0" w:after="0" w:line="240" w:lineRule="auto"/>
        <w:rPr>
          <w:rFonts w:ascii="Arial Narrow" w:hAnsi="Arial Narrow"/>
          <w:sz w:val="21"/>
          <w:szCs w:val="21"/>
        </w:rPr>
      </w:pPr>
    </w:p>
    <w:tbl>
      <w:tblPr>
        <w:tblW w:w="9351" w:type="dxa"/>
        <w:tblLook w:val="04A0" w:firstRow="1" w:lastRow="0" w:firstColumn="1" w:lastColumn="0" w:noHBand="0" w:noVBand="1"/>
      </w:tblPr>
      <w:tblGrid>
        <w:gridCol w:w="4395"/>
        <w:gridCol w:w="567"/>
        <w:gridCol w:w="4389"/>
      </w:tblGrid>
      <w:tr w:rsidR="00C9261B" w:rsidRPr="001B6C68" w14:paraId="69E33568" w14:textId="77777777">
        <w:tc>
          <w:tcPr>
            <w:tcW w:w="4395" w:type="dxa"/>
            <w:tcBorders>
              <w:top w:val="single" w:sz="4" w:space="0" w:color="auto"/>
            </w:tcBorders>
          </w:tcPr>
          <w:p w14:paraId="2E28FE29" w14:textId="5EF35342" w:rsidR="00C9261B" w:rsidRPr="001B6C68" w:rsidRDefault="00C9261B" w:rsidP="00C9261B">
            <w:pPr>
              <w:spacing w:before="0" w:after="0" w:line="240" w:lineRule="auto"/>
              <w:rPr>
                <w:rFonts w:ascii="Arial Narrow" w:hAnsi="Arial Narrow"/>
                <w:sz w:val="21"/>
                <w:szCs w:val="21"/>
              </w:rPr>
            </w:pPr>
            <w:r w:rsidRPr="001B6C68">
              <w:rPr>
                <w:rFonts w:ascii="Arial Narrow" w:hAnsi="Arial Narrow"/>
                <w:sz w:val="21"/>
                <w:szCs w:val="21"/>
              </w:rPr>
              <w:t xml:space="preserve">Nombre:   Catalina Castaño Granda                                                                             </w:t>
            </w:r>
          </w:p>
          <w:p w14:paraId="75AB40D6" w14:textId="77777777" w:rsidR="00C9261B" w:rsidRPr="001B6C68" w:rsidRDefault="00C9261B" w:rsidP="00C9261B">
            <w:pPr>
              <w:spacing w:before="0" w:after="0" w:line="240" w:lineRule="auto"/>
              <w:rPr>
                <w:rFonts w:ascii="Arial Narrow" w:hAnsi="Arial Narrow"/>
                <w:sz w:val="21"/>
                <w:szCs w:val="21"/>
              </w:rPr>
            </w:pPr>
            <w:r w:rsidRPr="001B6C68">
              <w:rPr>
                <w:rFonts w:ascii="Arial Narrow" w:hAnsi="Arial Narrow"/>
                <w:sz w:val="21"/>
                <w:szCs w:val="21"/>
              </w:rPr>
              <w:t>Cargo: Contratista Subdirección de Servicios Públicos</w:t>
            </w:r>
          </w:p>
          <w:p w14:paraId="45E338B2" w14:textId="77777777" w:rsidR="00C9261B" w:rsidRPr="001B6C68" w:rsidRDefault="00C9261B" w:rsidP="00C9261B">
            <w:pPr>
              <w:spacing w:before="0" w:after="0" w:line="240" w:lineRule="auto"/>
              <w:rPr>
                <w:rFonts w:ascii="Arial Narrow" w:hAnsi="Arial Narrow"/>
                <w:sz w:val="21"/>
                <w:szCs w:val="21"/>
              </w:rPr>
            </w:pPr>
            <w:r w:rsidRPr="001B6C68">
              <w:rPr>
                <w:rFonts w:ascii="Arial Narrow" w:hAnsi="Arial Narrow"/>
                <w:sz w:val="21"/>
                <w:szCs w:val="21"/>
              </w:rPr>
              <w:t>Entidad: Secretaría Distrital de Hábitat</w:t>
            </w:r>
          </w:p>
          <w:p w14:paraId="3902CE2B" w14:textId="77777777" w:rsidR="00C9261B" w:rsidRPr="001B6C68" w:rsidRDefault="00C9261B" w:rsidP="00C9261B">
            <w:pPr>
              <w:spacing w:before="0" w:after="0" w:line="240" w:lineRule="auto"/>
              <w:rPr>
                <w:rFonts w:ascii="Arial Narrow" w:hAnsi="Arial Narrow"/>
                <w:sz w:val="21"/>
                <w:szCs w:val="21"/>
              </w:rPr>
            </w:pPr>
            <w:r w:rsidRPr="001B6C68">
              <w:rPr>
                <w:rFonts w:ascii="Arial Narrow" w:hAnsi="Arial Narrow"/>
                <w:sz w:val="21"/>
                <w:szCs w:val="21"/>
              </w:rPr>
              <w:t xml:space="preserve">e-mail: </w:t>
            </w:r>
            <w:hyperlink r:id="rId9" w:history="1">
              <w:r w:rsidRPr="001B6C68">
                <w:rPr>
                  <w:rStyle w:val="Hipervnculo"/>
                  <w:rFonts w:ascii="Arial Narrow" w:hAnsi="Arial Narrow"/>
                  <w:sz w:val="21"/>
                  <w:szCs w:val="21"/>
                </w:rPr>
                <w:t>Catalina.castano@habitatbogota.gov.co</w:t>
              </w:r>
            </w:hyperlink>
            <w:r w:rsidRPr="001B6C68">
              <w:rPr>
                <w:rFonts w:ascii="Arial Narrow" w:hAnsi="Arial Narrow"/>
                <w:sz w:val="21"/>
                <w:szCs w:val="21"/>
              </w:rPr>
              <w:t xml:space="preserve"> </w:t>
            </w:r>
          </w:p>
          <w:p w14:paraId="3BAC28BB" w14:textId="52AFA456" w:rsidR="00C9261B" w:rsidRPr="001B6C68" w:rsidRDefault="00C9261B" w:rsidP="00C9261B">
            <w:pPr>
              <w:spacing w:before="0" w:after="0" w:line="240" w:lineRule="auto"/>
              <w:rPr>
                <w:rFonts w:ascii="Arial Narrow" w:hAnsi="Arial Narrow"/>
                <w:sz w:val="21"/>
                <w:szCs w:val="21"/>
              </w:rPr>
            </w:pPr>
          </w:p>
        </w:tc>
        <w:tc>
          <w:tcPr>
            <w:tcW w:w="567" w:type="dxa"/>
          </w:tcPr>
          <w:p w14:paraId="56A350FE" w14:textId="77777777" w:rsidR="00C9261B" w:rsidRPr="001B6C68" w:rsidRDefault="00C9261B" w:rsidP="00C9261B">
            <w:pPr>
              <w:spacing w:before="0" w:after="0" w:line="240" w:lineRule="auto"/>
              <w:rPr>
                <w:rFonts w:ascii="Arial Narrow" w:hAnsi="Arial Narrow"/>
                <w:sz w:val="21"/>
                <w:szCs w:val="21"/>
              </w:rPr>
            </w:pPr>
          </w:p>
        </w:tc>
        <w:tc>
          <w:tcPr>
            <w:tcW w:w="4389" w:type="dxa"/>
            <w:tcBorders>
              <w:top w:val="single" w:sz="4" w:space="0" w:color="auto"/>
            </w:tcBorders>
          </w:tcPr>
          <w:p w14:paraId="56DA7692" w14:textId="0040816B" w:rsidR="00C9261B" w:rsidRPr="001B6C68" w:rsidRDefault="00C9261B" w:rsidP="00C9261B">
            <w:pPr>
              <w:spacing w:before="0" w:after="0" w:line="240" w:lineRule="auto"/>
              <w:rPr>
                <w:rFonts w:ascii="Arial Narrow" w:hAnsi="Arial Narrow"/>
                <w:sz w:val="21"/>
                <w:szCs w:val="21"/>
              </w:rPr>
            </w:pPr>
            <w:r w:rsidRPr="001B6C68">
              <w:rPr>
                <w:rFonts w:ascii="Arial Narrow" w:hAnsi="Arial Narrow"/>
                <w:sz w:val="21"/>
                <w:szCs w:val="21"/>
              </w:rPr>
              <w:t>Nombre:   Santiago Vargas Triviño</w:t>
            </w:r>
          </w:p>
          <w:p w14:paraId="1603B4D4" w14:textId="77777777" w:rsidR="00C9261B" w:rsidRPr="001B6C68" w:rsidRDefault="00C9261B" w:rsidP="00C9261B">
            <w:pPr>
              <w:tabs>
                <w:tab w:val="left" w:pos="360"/>
              </w:tabs>
              <w:spacing w:before="0" w:after="0" w:line="240" w:lineRule="auto"/>
              <w:ind w:right="88"/>
              <w:rPr>
                <w:rFonts w:ascii="Arial Narrow" w:hAnsi="Arial Narrow"/>
                <w:sz w:val="21"/>
                <w:szCs w:val="21"/>
              </w:rPr>
            </w:pPr>
            <w:r w:rsidRPr="001B6C68">
              <w:rPr>
                <w:rFonts w:ascii="Arial Narrow" w:hAnsi="Arial Narrow"/>
                <w:sz w:val="21"/>
                <w:szCs w:val="21"/>
              </w:rPr>
              <w:t>Cargo: Contratista Subdirección de Servicios Públicos</w:t>
            </w:r>
          </w:p>
          <w:p w14:paraId="67FCFBC0" w14:textId="77777777" w:rsidR="00C9261B" w:rsidRPr="001B6C68" w:rsidRDefault="00C9261B" w:rsidP="00C9261B">
            <w:pPr>
              <w:spacing w:before="0" w:after="0" w:line="240" w:lineRule="auto"/>
              <w:rPr>
                <w:rFonts w:ascii="Arial Narrow" w:hAnsi="Arial Narrow"/>
                <w:sz w:val="21"/>
                <w:szCs w:val="21"/>
              </w:rPr>
            </w:pPr>
            <w:r w:rsidRPr="001B6C68">
              <w:rPr>
                <w:rFonts w:ascii="Arial Narrow" w:hAnsi="Arial Narrow"/>
                <w:sz w:val="21"/>
                <w:szCs w:val="21"/>
              </w:rPr>
              <w:t>Entidad: Secretaría Distrital de Hábitat</w:t>
            </w:r>
          </w:p>
          <w:p w14:paraId="58C07206" w14:textId="227AF560" w:rsidR="00C9261B" w:rsidRPr="001B6C68" w:rsidRDefault="00C9261B" w:rsidP="00C9261B">
            <w:pPr>
              <w:spacing w:before="0" w:after="0" w:line="240" w:lineRule="auto"/>
              <w:rPr>
                <w:rFonts w:ascii="Arial Narrow" w:hAnsi="Arial Narrow"/>
                <w:sz w:val="21"/>
                <w:szCs w:val="21"/>
              </w:rPr>
            </w:pPr>
            <w:r w:rsidRPr="001B6C68">
              <w:rPr>
                <w:rFonts w:ascii="Arial Narrow" w:hAnsi="Arial Narrow"/>
                <w:sz w:val="21"/>
                <w:szCs w:val="21"/>
              </w:rPr>
              <w:t xml:space="preserve">e-mail: </w:t>
            </w:r>
            <w:hyperlink r:id="rId10" w:history="1">
              <w:r w:rsidRPr="001B6C68">
                <w:rPr>
                  <w:rStyle w:val="Hipervnculo"/>
                  <w:rFonts w:ascii="Arial Narrow" w:hAnsi="Arial Narrow"/>
                  <w:sz w:val="21"/>
                  <w:szCs w:val="21"/>
                </w:rPr>
                <w:t>santiago.vargas@habitatbogota.gov.co</w:t>
              </w:r>
            </w:hyperlink>
            <w:r w:rsidRPr="001B6C68">
              <w:rPr>
                <w:rFonts w:ascii="Arial Narrow" w:hAnsi="Arial Narrow"/>
                <w:sz w:val="21"/>
                <w:szCs w:val="21"/>
              </w:rPr>
              <w:t xml:space="preserve"> </w:t>
            </w:r>
          </w:p>
        </w:tc>
      </w:tr>
    </w:tbl>
    <w:p w14:paraId="33DF9485" w14:textId="77777777" w:rsidR="00C9261B" w:rsidRPr="001B6C68" w:rsidRDefault="00C9261B" w:rsidP="00C9261B">
      <w:pPr>
        <w:rPr>
          <w:rFonts w:ascii="Arial Narrow" w:hAnsi="Arial Narrow"/>
          <w:sz w:val="21"/>
          <w:szCs w:val="21"/>
        </w:rPr>
      </w:pPr>
    </w:p>
    <w:p w14:paraId="23517FDF" w14:textId="77777777" w:rsidR="00C9261B" w:rsidRPr="001B6C68" w:rsidRDefault="00C9261B" w:rsidP="00C9261B">
      <w:pPr>
        <w:rPr>
          <w:rFonts w:ascii="Arial Narrow" w:hAnsi="Arial Narrow"/>
          <w:sz w:val="21"/>
          <w:szCs w:val="21"/>
        </w:rPr>
      </w:pPr>
    </w:p>
    <w:tbl>
      <w:tblPr>
        <w:tblW w:w="9351" w:type="dxa"/>
        <w:tblLook w:val="04A0" w:firstRow="1" w:lastRow="0" w:firstColumn="1" w:lastColumn="0" w:noHBand="0" w:noVBand="1"/>
      </w:tblPr>
      <w:tblGrid>
        <w:gridCol w:w="4395"/>
        <w:gridCol w:w="567"/>
        <w:gridCol w:w="4389"/>
      </w:tblGrid>
      <w:tr w:rsidR="00C9261B" w:rsidRPr="001B6C68" w14:paraId="7C83CF87" w14:textId="77777777">
        <w:tc>
          <w:tcPr>
            <w:tcW w:w="4395" w:type="dxa"/>
            <w:tcBorders>
              <w:top w:val="single" w:sz="4" w:space="0" w:color="auto"/>
            </w:tcBorders>
          </w:tcPr>
          <w:p w14:paraId="7A114A35" w14:textId="1BB9137B" w:rsidR="00C9261B" w:rsidRPr="001B6C68" w:rsidRDefault="00C9261B" w:rsidP="00C9261B">
            <w:pPr>
              <w:spacing w:before="0" w:after="0" w:line="240" w:lineRule="auto"/>
              <w:rPr>
                <w:rFonts w:ascii="Arial Narrow" w:hAnsi="Arial Narrow"/>
                <w:sz w:val="21"/>
                <w:szCs w:val="21"/>
              </w:rPr>
            </w:pPr>
            <w:r w:rsidRPr="001B6C68">
              <w:rPr>
                <w:rFonts w:ascii="Arial Narrow" w:hAnsi="Arial Narrow"/>
                <w:sz w:val="21"/>
                <w:szCs w:val="21"/>
              </w:rPr>
              <w:t>Nombre: Luis Hernan Torres</w:t>
            </w:r>
          </w:p>
          <w:p w14:paraId="0458D722" w14:textId="77777777" w:rsidR="00C9261B" w:rsidRPr="001B6C68" w:rsidRDefault="00C9261B" w:rsidP="00C9261B">
            <w:pPr>
              <w:spacing w:before="0" w:after="0" w:line="240" w:lineRule="auto"/>
              <w:rPr>
                <w:rFonts w:ascii="Arial Narrow" w:hAnsi="Arial Narrow"/>
                <w:sz w:val="21"/>
                <w:szCs w:val="21"/>
              </w:rPr>
            </w:pPr>
            <w:r w:rsidRPr="001B6C68">
              <w:rPr>
                <w:rFonts w:ascii="Arial Narrow" w:hAnsi="Arial Narrow"/>
                <w:sz w:val="21"/>
                <w:szCs w:val="21"/>
              </w:rPr>
              <w:t>Cargo: Contratista Subdirección de Servicios Públicos</w:t>
            </w:r>
          </w:p>
          <w:p w14:paraId="5F41DAD6" w14:textId="77777777" w:rsidR="00C9261B" w:rsidRPr="001B6C68" w:rsidRDefault="00C9261B" w:rsidP="00C9261B">
            <w:pPr>
              <w:spacing w:before="0" w:after="0" w:line="240" w:lineRule="auto"/>
              <w:rPr>
                <w:rFonts w:ascii="Arial Narrow" w:hAnsi="Arial Narrow"/>
                <w:sz w:val="21"/>
                <w:szCs w:val="21"/>
              </w:rPr>
            </w:pPr>
            <w:r w:rsidRPr="001B6C68">
              <w:rPr>
                <w:rFonts w:ascii="Arial Narrow" w:hAnsi="Arial Narrow"/>
                <w:sz w:val="21"/>
                <w:szCs w:val="21"/>
              </w:rPr>
              <w:t>Entidad: Secretaría Distrital de Hábitat</w:t>
            </w:r>
          </w:p>
          <w:p w14:paraId="38271ED2" w14:textId="262D0BB5" w:rsidR="00C9261B" w:rsidRPr="001B6C68" w:rsidRDefault="00C9261B" w:rsidP="00C9261B">
            <w:pPr>
              <w:spacing w:before="0" w:after="0" w:line="240" w:lineRule="auto"/>
              <w:rPr>
                <w:rFonts w:ascii="Arial Narrow" w:hAnsi="Arial Narrow"/>
                <w:sz w:val="21"/>
                <w:szCs w:val="21"/>
              </w:rPr>
            </w:pPr>
            <w:r w:rsidRPr="001B6C68">
              <w:rPr>
                <w:rFonts w:ascii="Arial Narrow" w:hAnsi="Arial Narrow"/>
                <w:sz w:val="21"/>
                <w:szCs w:val="21"/>
              </w:rPr>
              <w:t xml:space="preserve">e-mail: </w:t>
            </w:r>
          </w:p>
          <w:p w14:paraId="4FD63D5F" w14:textId="77777777" w:rsidR="00C9261B" w:rsidRPr="001B6C68" w:rsidRDefault="00C9261B" w:rsidP="00C9261B">
            <w:pPr>
              <w:spacing w:before="0" w:after="0" w:line="240" w:lineRule="auto"/>
              <w:rPr>
                <w:rFonts w:ascii="Arial Narrow" w:hAnsi="Arial Narrow"/>
                <w:sz w:val="21"/>
                <w:szCs w:val="21"/>
              </w:rPr>
            </w:pPr>
          </w:p>
          <w:p w14:paraId="68FD529B" w14:textId="77777777" w:rsidR="00C9261B" w:rsidRPr="001B6C68" w:rsidRDefault="00C9261B" w:rsidP="00C9261B">
            <w:pPr>
              <w:spacing w:before="0" w:after="0" w:line="240" w:lineRule="auto"/>
              <w:rPr>
                <w:rFonts w:ascii="Arial Narrow" w:hAnsi="Arial Narrow"/>
                <w:sz w:val="21"/>
                <w:szCs w:val="21"/>
              </w:rPr>
            </w:pPr>
          </w:p>
          <w:p w14:paraId="2374E81F" w14:textId="77777777" w:rsidR="00C9261B" w:rsidRPr="001B6C68" w:rsidRDefault="00C9261B" w:rsidP="00C9261B">
            <w:pPr>
              <w:spacing w:before="0" w:after="0" w:line="240" w:lineRule="auto"/>
              <w:rPr>
                <w:rFonts w:ascii="Arial Narrow" w:hAnsi="Arial Narrow"/>
                <w:sz w:val="21"/>
                <w:szCs w:val="21"/>
              </w:rPr>
            </w:pPr>
          </w:p>
          <w:p w14:paraId="45C2B45A" w14:textId="77777777" w:rsidR="00C9261B" w:rsidRPr="001B6C68" w:rsidRDefault="00C9261B" w:rsidP="00C9261B">
            <w:pPr>
              <w:spacing w:before="0" w:after="0" w:line="240" w:lineRule="auto"/>
              <w:rPr>
                <w:rFonts w:ascii="Arial Narrow" w:hAnsi="Arial Narrow"/>
                <w:sz w:val="21"/>
                <w:szCs w:val="21"/>
              </w:rPr>
            </w:pPr>
          </w:p>
          <w:p w14:paraId="5956F021" w14:textId="77777777" w:rsidR="00C9261B" w:rsidRPr="001B6C68" w:rsidRDefault="00C9261B" w:rsidP="00C9261B">
            <w:pPr>
              <w:spacing w:before="0" w:after="0" w:line="240" w:lineRule="auto"/>
              <w:rPr>
                <w:rFonts w:ascii="Arial Narrow" w:hAnsi="Arial Narrow"/>
                <w:sz w:val="21"/>
                <w:szCs w:val="21"/>
              </w:rPr>
            </w:pPr>
          </w:p>
        </w:tc>
        <w:tc>
          <w:tcPr>
            <w:tcW w:w="567" w:type="dxa"/>
          </w:tcPr>
          <w:p w14:paraId="77470A6F" w14:textId="77777777" w:rsidR="00C9261B" w:rsidRPr="001B6C68" w:rsidRDefault="00C9261B">
            <w:pPr>
              <w:rPr>
                <w:rFonts w:ascii="Arial Narrow" w:hAnsi="Arial Narrow"/>
                <w:sz w:val="21"/>
                <w:szCs w:val="21"/>
              </w:rPr>
            </w:pPr>
          </w:p>
        </w:tc>
        <w:tc>
          <w:tcPr>
            <w:tcW w:w="4389" w:type="dxa"/>
            <w:tcBorders>
              <w:top w:val="single" w:sz="4" w:space="0" w:color="auto"/>
            </w:tcBorders>
          </w:tcPr>
          <w:p w14:paraId="7B684C77" w14:textId="77777777" w:rsidR="00C9261B" w:rsidRPr="001B6C68" w:rsidRDefault="00C9261B" w:rsidP="00C9261B">
            <w:pPr>
              <w:spacing w:before="0" w:after="0" w:line="240" w:lineRule="auto"/>
              <w:rPr>
                <w:rFonts w:ascii="Arial Narrow" w:hAnsi="Arial Narrow"/>
                <w:sz w:val="21"/>
                <w:szCs w:val="21"/>
              </w:rPr>
            </w:pPr>
            <w:r w:rsidRPr="001B6C68">
              <w:rPr>
                <w:rFonts w:ascii="Arial Narrow" w:hAnsi="Arial Narrow"/>
                <w:sz w:val="21"/>
                <w:szCs w:val="21"/>
              </w:rPr>
              <w:t>Firma</w:t>
            </w:r>
          </w:p>
          <w:p w14:paraId="6B4A7314" w14:textId="77777777" w:rsidR="00C9261B" w:rsidRPr="001B6C68" w:rsidRDefault="00C9261B" w:rsidP="00C9261B">
            <w:pPr>
              <w:spacing w:before="0" w:after="0" w:line="240" w:lineRule="auto"/>
              <w:rPr>
                <w:rFonts w:ascii="Arial Narrow" w:hAnsi="Arial Narrow"/>
                <w:sz w:val="21"/>
                <w:szCs w:val="21"/>
              </w:rPr>
            </w:pPr>
            <w:r w:rsidRPr="001B6C68">
              <w:rPr>
                <w:rFonts w:ascii="Arial Narrow" w:hAnsi="Arial Narrow"/>
                <w:sz w:val="21"/>
                <w:szCs w:val="21"/>
              </w:rPr>
              <w:t xml:space="preserve">Nombre:   </w:t>
            </w:r>
          </w:p>
          <w:p w14:paraId="222DBE3A" w14:textId="77777777" w:rsidR="00C9261B" w:rsidRPr="001B6C68" w:rsidRDefault="00C9261B" w:rsidP="00C9261B">
            <w:pPr>
              <w:spacing w:before="0" w:after="0" w:line="240" w:lineRule="auto"/>
              <w:rPr>
                <w:rFonts w:ascii="Arial Narrow" w:hAnsi="Arial Narrow"/>
                <w:sz w:val="21"/>
                <w:szCs w:val="21"/>
              </w:rPr>
            </w:pPr>
            <w:r w:rsidRPr="001B6C68">
              <w:rPr>
                <w:rFonts w:ascii="Arial Narrow" w:hAnsi="Arial Narrow"/>
                <w:sz w:val="21"/>
                <w:szCs w:val="21"/>
              </w:rPr>
              <w:t xml:space="preserve">Cargo: </w:t>
            </w:r>
          </w:p>
          <w:p w14:paraId="4FE78991" w14:textId="77777777" w:rsidR="00C9261B" w:rsidRPr="001B6C68" w:rsidRDefault="00C9261B" w:rsidP="00C9261B">
            <w:pPr>
              <w:spacing w:before="0" w:after="0" w:line="240" w:lineRule="auto"/>
              <w:rPr>
                <w:rFonts w:ascii="Arial Narrow" w:hAnsi="Arial Narrow"/>
                <w:sz w:val="21"/>
                <w:szCs w:val="21"/>
              </w:rPr>
            </w:pPr>
            <w:r w:rsidRPr="001B6C68">
              <w:rPr>
                <w:rFonts w:ascii="Arial Narrow" w:hAnsi="Arial Narrow"/>
                <w:sz w:val="21"/>
                <w:szCs w:val="21"/>
              </w:rPr>
              <w:t xml:space="preserve">Entidad: </w:t>
            </w:r>
          </w:p>
          <w:p w14:paraId="009558FF" w14:textId="77777777" w:rsidR="00C9261B" w:rsidRPr="001B6C68" w:rsidRDefault="00C9261B" w:rsidP="00C9261B">
            <w:pPr>
              <w:spacing w:before="0" w:after="0" w:line="240" w:lineRule="auto"/>
              <w:rPr>
                <w:rFonts w:ascii="Arial Narrow" w:hAnsi="Arial Narrow"/>
                <w:sz w:val="21"/>
                <w:szCs w:val="21"/>
              </w:rPr>
            </w:pPr>
            <w:r w:rsidRPr="001B6C68">
              <w:rPr>
                <w:rFonts w:ascii="Arial Narrow" w:hAnsi="Arial Narrow"/>
                <w:sz w:val="21"/>
                <w:szCs w:val="21"/>
              </w:rPr>
              <w:lastRenderedPageBreak/>
              <w:t>e-mail: Tel/Cel:</w:t>
            </w:r>
          </w:p>
        </w:tc>
      </w:tr>
    </w:tbl>
    <w:p w14:paraId="22591A75" w14:textId="77777777" w:rsidR="00C9261B" w:rsidRPr="001B6C68" w:rsidRDefault="00C9261B" w:rsidP="00C9261B">
      <w:pPr>
        <w:spacing w:before="60" w:after="60"/>
        <w:rPr>
          <w:rFonts w:ascii="Arial Narrow" w:hAnsi="Arial Narrow"/>
          <w:sz w:val="21"/>
          <w:szCs w:val="21"/>
        </w:rPr>
      </w:pPr>
    </w:p>
    <w:sectPr w:rsidR="00C9261B" w:rsidRPr="001B6C68" w:rsidSect="00076B66">
      <w:headerReference w:type="default" r:id="rId11"/>
      <w:footerReference w:type="default" r:id="rId12"/>
      <w:pgSz w:w="12240" w:h="15840"/>
      <w:pgMar w:top="1560" w:right="1720" w:bottom="280" w:left="1600" w:header="720" w:footer="126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D073CB9" w14:textId="77777777" w:rsidR="00B614A7" w:rsidRDefault="00B614A7" w:rsidP="00247AA6">
      <w:pPr>
        <w:spacing w:line="240" w:lineRule="auto"/>
      </w:pPr>
      <w:r>
        <w:separator/>
      </w:r>
    </w:p>
  </w:endnote>
  <w:endnote w:type="continuationSeparator" w:id="0">
    <w:p w14:paraId="62817916" w14:textId="77777777" w:rsidR="00B614A7" w:rsidRDefault="00B614A7" w:rsidP="00247A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Nmerodepgina"/>
        <w:sz w:val="20"/>
        <w:szCs w:val="20"/>
      </w:rPr>
      <w:id w:val="-1945139010"/>
      <w:docPartObj>
        <w:docPartGallery w:val="Page Numbers (Bottom of Page)"/>
        <w:docPartUnique/>
      </w:docPartObj>
    </w:sdtPr>
    <w:sdtContent>
      <w:p w14:paraId="48BFB394" w14:textId="522269F2" w:rsidR="001123E5" w:rsidRPr="0088181D" w:rsidRDefault="001123E5" w:rsidP="00076B66">
        <w:pPr>
          <w:pStyle w:val="Piedepgina"/>
          <w:framePr w:wrap="none" w:vAnchor="text" w:hAnchor="page" w:x="10143" w:y="421"/>
          <w:rPr>
            <w:rStyle w:val="Nmerodepgina"/>
            <w:sz w:val="20"/>
            <w:szCs w:val="20"/>
          </w:rPr>
        </w:pPr>
        <w:r w:rsidRPr="003574AC">
          <w:rPr>
            <w:rStyle w:val="Nmerodepgina"/>
            <w:sz w:val="20"/>
            <w:szCs w:val="20"/>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00F60C83">
          <w:rPr>
            <w:rStyle w:val="Nmerodepgina"/>
            <w:b/>
            <w:bCs/>
            <w:noProof/>
            <w:sz w:val="20"/>
            <w:szCs w:val="20"/>
          </w:rPr>
          <w:t>17</w:t>
        </w:r>
        <w:r w:rsidRPr="003574AC">
          <w:rPr>
            <w:rStyle w:val="Nmerodepgina"/>
            <w:b/>
            <w:bCs/>
            <w:sz w:val="20"/>
            <w:szCs w:val="20"/>
          </w:rPr>
          <w:fldChar w:fldCharType="end"/>
        </w:r>
        <w:r w:rsidRPr="003574AC">
          <w:rPr>
            <w:rStyle w:val="Nmerodepgina"/>
            <w:sz w:val="20"/>
            <w:szCs w:val="20"/>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00F60C83">
          <w:rPr>
            <w:rStyle w:val="Nmerodepgina"/>
            <w:b/>
            <w:bCs/>
            <w:noProof/>
            <w:sz w:val="20"/>
            <w:szCs w:val="20"/>
          </w:rPr>
          <w:t>17</w:t>
        </w:r>
        <w:r w:rsidRPr="003574AC">
          <w:rPr>
            <w:rStyle w:val="Nmerodepgina"/>
            <w:b/>
            <w:bCs/>
            <w:sz w:val="20"/>
            <w:szCs w:val="20"/>
          </w:rPr>
          <w:fldChar w:fldCharType="end"/>
        </w:r>
      </w:p>
    </w:sdtContent>
  </w:sdt>
  <w:p w14:paraId="7D59156B" w14:textId="77777777" w:rsidR="001123E5" w:rsidRDefault="001123E5" w:rsidP="00076B66">
    <w:pPr>
      <w:pStyle w:val="Piedepgina"/>
      <w:tabs>
        <w:tab w:val="clear" w:pos="4419"/>
        <w:tab w:val="clear" w:pos="8838"/>
        <w:tab w:val="center" w:pos="1085"/>
      </w:tabs>
    </w:pPr>
    <w:r>
      <w:rPr>
        <w:noProof/>
        <w:color w:val="2B579A"/>
        <w:shd w:val="clear" w:color="auto" w:fill="E6E6E6"/>
        <w:lang w:val="es-CO"/>
      </w:rPr>
      <w:drawing>
        <wp:anchor distT="0" distB="0" distL="114300" distR="114300" simplePos="0" relativeHeight="251658242" behindDoc="0" locked="0" layoutInCell="1" allowOverlap="1" wp14:anchorId="78A0DE99" wp14:editId="431964B9">
          <wp:simplePos x="0" y="0"/>
          <wp:positionH relativeFrom="page">
            <wp:posOffset>3143250</wp:posOffset>
          </wp:positionH>
          <wp:positionV relativeFrom="page">
            <wp:posOffset>8995410</wp:posOffset>
          </wp:positionV>
          <wp:extent cx="1479550" cy="466725"/>
          <wp:effectExtent l="0" t="0" r="6350" b="9525"/>
          <wp:wrapSquare wrapText="bothSides"/>
          <wp:docPr id="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266289698"/>
                  <pic:cNvPicPr/>
                </pic:nvPicPr>
                <pic:blipFill>
                  <a:blip r:embed="rId1">
                    <a:extLst>
                      <a:ext uri="{28A0092B-C50C-407E-A947-70E740481C1C}">
                        <a14:useLocalDpi xmlns:a14="http://schemas.microsoft.com/office/drawing/2010/main" val="0"/>
                      </a:ext>
                    </a:extLst>
                  </a:blip>
                  <a:stretch>
                    <a:fillRect/>
                  </a:stretch>
                </pic:blipFill>
                <pic:spPr>
                  <a:xfrm>
                    <a:off x="0" y="0"/>
                    <a:ext cx="1479550" cy="466725"/>
                  </a:xfrm>
                  <a:prstGeom prst="rect">
                    <a:avLst/>
                  </a:prstGeom>
                </pic:spPr>
              </pic:pic>
            </a:graphicData>
          </a:graphic>
          <wp14:sizeRelH relativeFrom="page">
            <wp14:pctWidth>0</wp14:pctWidth>
          </wp14:sizeRelH>
          <wp14:sizeRelV relativeFrom="page">
            <wp14:pctHeight>0</wp14:pctHeight>
          </wp14:sizeRelV>
        </wp:anchor>
      </w:drawing>
    </w:r>
    <w:r w:rsidRPr="00D26307">
      <w:rPr>
        <w:noProof/>
        <w:color w:val="2B579A"/>
        <w:shd w:val="clear" w:color="auto" w:fill="E6E6E6"/>
        <w:lang w:val="es-CO"/>
      </w:rPr>
      <w:drawing>
        <wp:anchor distT="0" distB="0" distL="114300" distR="114300" simplePos="0" relativeHeight="251658241" behindDoc="0" locked="0" layoutInCell="1" allowOverlap="1" wp14:anchorId="17EC1A23" wp14:editId="34FBD29C">
          <wp:simplePos x="0" y="0"/>
          <wp:positionH relativeFrom="column">
            <wp:posOffset>-762000</wp:posOffset>
          </wp:positionH>
          <wp:positionV relativeFrom="margin">
            <wp:posOffset>7987030</wp:posOffset>
          </wp:positionV>
          <wp:extent cx="1282700" cy="698500"/>
          <wp:effectExtent l="0" t="0" r="0" b="0"/>
          <wp:wrapSquare wrapText="bothSides"/>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818647" name=""/>
                  <pic:cNvPicPr/>
                </pic:nvPicPr>
                <pic:blipFill>
                  <a:blip r:embed="rId2">
                    <a:extLst>
                      <a:ext uri="{28A0092B-C50C-407E-A947-70E740481C1C}">
                        <a14:useLocalDpi xmlns:a14="http://schemas.microsoft.com/office/drawing/2010/main" val="0"/>
                      </a:ext>
                    </a:extLst>
                  </a:blip>
                  <a:stretch>
                    <a:fillRect/>
                  </a:stretch>
                </pic:blipFill>
                <pic:spPr>
                  <a:xfrm>
                    <a:off x="0" y="0"/>
                    <a:ext cx="1282700" cy="698500"/>
                  </a:xfrm>
                  <a:prstGeom prst="rect">
                    <a:avLst/>
                  </a:prstGeom>
                </pic:spPr>
              </pic:pic>
            </a:graphicData>
          </a:graphic>
          <wp14:sizeRelH relativeFrom="page">
            <wp14:pctWidth>0</wp14:pctWidth>
          </wp14:sizeRelH>
          <wp14:sizeRelV relativeFrom="page">
            <wp14:pctHeight>0</wp14:pctHeight>
          </wp14:sizeRelV>
        </wp:anchor>
      </w:drawing>
    </w:r>
    <w:r w:rsidRPr="00D26307">
      <w:rPr>
        <w:noProof/>
      </w:rPr>
      <w:t xml:space="preserve"> </w:t>
    </w:r>
    <w:r>
      <w:rPr>
        <w:noProof/>
        <w:color w:val="2B579A"/>
        <w:shd w:val="clear" w:color="auto" w:fill="E6E6E6"/>
        <w:lang w:val="es-CO"/>
      </w:rPr>
      <mc:AlternateContent>
        <mc:Choice Requires="wps">
          <w:drawing>
            <wp:anchor distT="45720" distB="45720" distL="114300" distR="114300" simplePos="0" relativeHeight="251658243" behindDoc="1" locked="0" layoutInCell="1" allowOverlap="1" wp14:anchorId="102C0533" wp14:editId="21257BB5">
              <wp:simplePos x="0" y="0"/>
              <wp:positionH relativeFrom="margin">
                <wp:posOffset>2298700</wp:posOffset>
              </wp:positionH>
              <wp:positionV relativeFrom="paragraph">
                <wp:posOffset>443865</wp:posOffset>
              </wp:positionV>
              <wp:extent cx="1040765" cy="314325"/>
              <wp:effectExtent l="0" t="0" r="26035" b="28575"/>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0765" cy="314325"/>
                      </a:xfrm>
                      <a:prstGeom prst="rect">
                        <a:avLst/>
                      </a:prstGeom>
                      <a:solidFill>
                        <a:srgbClr val="FFFFFF"/>
                      </a:solidFill>
                      <a:ln w="9525">
                        <a:solidFill>
                          <a:schemeClr val="bg1"/>
                        </a:solidFill>
                        <a:miter lim="800000"/>
                        <a:headEnd/>
                        <a:tailEnd/>
                      </a:ln>
                    </wps:spPr>
                    <wps:txbx>
                      <w:txbxContent>
                        <w:p w14:paraId="5637FEF3" w14:textId="77777777" w:rsidR="001123E5" w:rsidRPr="007D1E06" w:rsidRDefault="001123E5" w:rsidP="00076B66">
                          <w:pPr>
                            <w:jc w:val="center"/>
                            <w:rPr>
                              <w:rFonts w:cs="Arial"/>
                              <w:sz w:val="14"/>
                              <w:szCs w:val="14"/>
                              <w:lang w:val="es-MX"/>
                            </w:rPr>
                          </w:pPr>
                          <w:r w:rsidRPr="007D1E06">
                            <w:rPr>
                              <w:rFonts w:cs="Arial"/>
                              <w:sz w:val="14"/>
                              <w:szCs w:val="14"/>
                            </w:rPr>
                            <w:t>PG02-FO752 V2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type id="_x0000_t202" coordsize="21600,21600" o:spt="202" path="m,l,21600r21600,l21600,xe" w14:anchorId="102C0533">
              <v:stroke joinstyle="miter"/>
              <v:path gradientshapeok="t" o:connecttype="rect"/>
            </v:shapetype>
            <v:shape id="Cuadro de texto 2" style="position:absolute;left:0;text-align:left;margin-left:181pt;margin-top:34.95pt;width:81.95pt;height:24.75pt;z-index:-25165823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">
              <v:textbox>
                <w:txbxContent>
                  <w:p w:rsidRPr="007D1E06" w:rsidR="002673AD" w:rsidP="00076B66" w:rsidRDefault="002673AD" w14:paraId="5637FEF3" w14:textId="77777777">
                    <w:pPr>
                      <w:jc w:val="center"/>
                      <w:rPr>
                        <w:rFonts w:cs="Arial"/>
                        <w:sz w:val="14"/>
                        <w:szCs w:val="14"/>
                        <w:lang w:val="es-MX"/>
                      </w:rPr>
                    </w:pPr>
                    <w:r w:rsidRPr="007D1E06">
                      <w:rPr>
                        <w:rFonts w:cs="Arial"/>
                        <w:sz w:val="14"/>
                        <w:szCs w:val="14"/>
                      </w:rPr>
                      <w:t>PG02-FO752 V2</w:t>
                    </w:r>
                  </w:p>
                </w:txbxContent>
              </v:textbox>
              <w10:wrap anchorx="margin"/>
            </v:shape>
          </w:pict>
        </mc:Fallback>
      </mc:AlternateContent>
    </w:r>
    <w:r>
      <w:rPr>
        <w:noProo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07890A8" w14:textId="77777777" w:rsidR="00B614A7" w:rsidRDefault="00B614A7" w:rsidP="00247AA6">
      <w:pPr>
        <w:spacing w:line="240" w:lineRule="auto"/>
      </w:pPr>
      <w:r>
        <w:separator/>
      </w:r>
    </w:p>
  </w:footnote>
  <w:footnote w:type="continuationSeparator" w:id="0">
    <w:p w14:paraId="66780FC7" w14:textId="77777777" w:rsidR="00B614A7" w:rsidRDefault="00B614A7" w:rsidP="00247A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2C52AB1" w14:textId="77777777" w:rsidR="001123E5" w:rsidRPr="00247AA6" w:rsidRDefault="001123E5" w:rsidP="00076B66">
    <w:pPr>
      <w:pStyle w:val="Encabezado"/>
      <w:jc w:val="center"/>
    </w:pPr>
    <w:r w:rsidRPr="00D26307">
      <w:rPr>
        <w:noProof/>
        <w:color w:val="2B579A"/>
        <w:shd w:val="clear" w:color="auto" w:fill="E6E6E6"/>
        <w:lang w:val="es-CO"/>
      </w:rPr>
      <w:drawing>
        <wp:anchor distT="0" distB="0" distL="114300" distR="114300" simplePos="0" relativeHeight="251658240" behindDoc="0" locked="0" layoutInCell="1" allowOverlap="1" wp14:anchorId="51D10E1A" wp14:editId="364C4A14">
          <wp:simplePos x="0" y="0"/>
          <wp:positionH relativeFrom="margin">
            <wp:posOffset>2228850</wp:posOffset>
          </wp:positionH>
          <wp:positionV relativeFrom="page">
            <wp:posOffset>257175</wp:posOffset>
          </wp:positionV>
          <wp:extent cx="1333500" cy="469900"/>
          <wp:effectExtent l="0" t="0" r="0" b="6350"/>
          <wp:wrapSquare wrapText="bothSides"/>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rKU3eaTEQUZ6mH" int2:id="0hNWZCMA">
      <int2:state int2:value="Rejected" int2:type="AugLoop_Text_Critique"/>
    </int2:textHash>
    <int2:textHash int2:hashCode="E0gVHEtqAO2RuF" int2:id="sFPB0pp3">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722903"/>
    <w:multiLevelType w:val="hybridMultilevel"/>
    <w:tmpl w:val="0B0E829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282473"/>
    <w:multiLevelType w:val="hybridMultilevel"/>
    <w:tmpl w:val="BE5456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B421D61"/>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7098"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7467FE3"/>
    <w:multiLevelType w:val="multilevel"/>
    <w:tmpl w:val="07581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E77095"/>
    <w:multiLevelType w:val="hybridMultilevel"/>
    <w:tmpl w:val="C694C6C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C7F0C18"/>
    <w:multiLevelType w:val="multilevel"/>
    <w:tmpl w:val="4C223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41E75FD"/>
    <w:multiLevelType w:val="hybridMultilevel"/>
    <w:tmpl w:val="91B2C1B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C870967"/>
    <w:multiLevelType w:val="hybridMultilevel"/>
    <w:tmpl w:val="EFEE15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68944076"/>
    <w:multiLevelType w:val="hybridMultilevel"/>
    <w:tmpl w:val="CE7A97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8692356"/>
    <w:multiLevelType w:val="hybridMultilevel"/>
    <w:tmpl w:val="BE2AFC20"/>
    <w:lvl w:ilvl="0" w:tplc="4564898A">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7EF714C5"/>
    <w:multiLevelType w:val="hybridMultilevel"/>
    <w:tmpl w:val="1952C1AC"/>
    <w:lvl w:ilvl="0" w:tplc="9EF2131A">
      <w:start w:val="1"/>
      <w:numFmt w:val="bullet"/>
      <w:lvlText w:val=""/>
      <w:lvlJc w:val="left"/>
      <w:pPr>
        <w:ind w:left="1080" w:hanging="360"/>
      </w:pPr>
      <w:rPr>
        <w:rFonts w:ascii="Symbol" w:hAnsi="Symbol" w:hint="default"/>
        <w:color w:val="auto"/>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16cid:durableId="722481708">
    <w:abstractNumId w:val="2"/>
  </w:num>
  <w:num w:numId="2" w16cid:durableId="1516267734">
    <w:abstractNumId w:val="3"/>
  </w:num>
  <w:num w:numId="3" w16cid:durableId="110516004">
    <w:abstractNumId w:val="1"/>
  </w:num>
  <w:num w:numId="4" w16cid:durableId="209000647">
    <w:abstractNumId w:val="7"/>
  </w:num>
  <w:num w:numId="5" w16cid:durableId="2115056958">
    <w:abstractNumId w:val="8"/>
  </w:num>
  <w:num w:numId="6" w16cid:durableId="960186827">
    <w:abstractNumId w:val="9"/>
  </w:num>
  <w:num w:numId="7" w16cid:durableId="1622611755">
    <w:abstractNumId w:val="10"/>
  </w:num>
  <w:num w:numId="8" w16cid:durableId="1570116925">
    <w:abstractNumId w:val="6"/>
  </w:num>
  <w:num w:numId="9" w16cid:durableId="392891928">
    <w:abstractNumId w:val="4"/>
  </w:num>
  <w:num w:numId="10" w16cid:durableId="286814496">
    <w:abstractNumId w:val="5"/>
  </w:num>
  <w:num w:numId="11" w16cid:durableId="1590306764">
    <w:abstractNumId w:val="0"/>
  </w:num>
  <w:numIdMacAtCleanup w:val="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9"/>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B12"/>
    <w:rsid w:val="0000670F"/>
    <w:rsid w:val="00006C07"/>
    <w:rsid w:val="000176E3"/>
    <w:rsid w:val="0002479D"/>
    <w:rsid w:val="000414F3"/>
    <w:rsid w:val="00050832"/>
    <w:rsid w:val="000530F4"/>
    <w:rsid w:val="00056AE3"/>
    <w:rsid w:val="00065BF1"/>
    <w:rsid w:val="00076B66"/>
    <w:rsid w:val="00077BB8"/>
    <w:rsid w:val="00081969"/>
    <w:rsid w:val="00083C8A"/>
    <w:rsid w:val="00083F51"/>
    <w:rsid w:val="00090B30"/>
    <w:rsid w:val="000A1545"/>
    <w:rsid w:val="000A2BC5"/>
    <w:rsid w:val="000A4F6C"/>
    <w:rsid w:val="000A6067"/>
    <w:rsid w:val="000D083F"/>
    <w:rsid w:val="000D10DA"/>
    <w:rsid w:val="000D2072"/>
    <w:rsid w:val="000F7846"/>
    <w:rsid w:val="00102E75"/>
    <w:rsid w:val="00106465"/>
    <w:rsid w:val="001123E5"/>
    <w:rsid w:val="001133DE"/>
    <w:rsid w:val="0011623D"/>
    <w:rsid w:val="00123BDF"/>
    <w:rsid w:val="00130B83"/>
    <w:rsid w:val="00145310"/>
    <w:rsid w:val="001569B2"/>
    <w:rsid w:val="00163F6E"/>
    <w:rsid w:val="00165918"/>
    <w:rsid w:val="00176405"/>
    <w:rsid w:val="00187BD3"/>
    <w:rsid w:val="00193A2E"/>
    <w:rsid w:val="001A465D"/>
    <w:rsid w:val="001A5601"/>
    <w:rsid w:val="001B14CD"/>
    <w:rsid w:val="001B45DF"/>
    <w:rsid w:val="001B6C68"/>
    <w:rsid w:val="001C07F1"/>
    <w:rsid w:val="001C260E"/>
    <w:rsid w:val="001E2745"/>
    <w:rsid w:val="001F05FE"/>
    <w:rsid w:val="002003E6"/>
    <w:rsid w:val="002101A1"/>
    <w:rsid w:val="0021331C"/>
    <w:rsid w:val="00223F42"/>
    <w:rsid w:val="002346EA"/>
    <w:rsid w:val="00234AD1"/>
    <w:rsid w:val="00242B12"/>
    <w:rsid w:val="00247AA6"/>
    <w:rsid w:val="00251D7C"/>
    <w:rsid w:val="002532B6"/>
    <w:rsid w:val="00254ABD"/>
    <w:rsid w:val="00254F35"/>
    <w:rsid w:val="00255C30"/>
    <w:rsid w:val="0026552F"/>
    <w:rsid w:val="0026721F"/>
    <w:rsid w:val="002673AD"/>
    <w:rsid w:val="00272FA3"/>
    <w:rsid w:val="00277525"/>
    <w:rsid w:val="00285DFA"/>
    <w:rsid w:val="002B094F"/>
    <w:rsid w:val="002B174A"/>
    <w:rsid w:val="002B5C3B"/>
    <w:rsid w:val="002B697B"/>
    <w:rsid w:val="002C6C8E"/>
    <w:rsid w:val="002D07E9"/>
    <w:rsid w:val="002D73C4"/>
    <w:rsid w:val="002E6166"/>
    <w:rsid w:val="002F3079"/>
    <w:rsid w:val="002F5894"/>
    <w:rsid w:val="00304A5F"/>
    <w:rsid w:val="0030793A"/>
    <w:rsid w:val="0031129D"/>
    <w:rsid w:val="00312247"/>
    <w:rsid w:val="00324DEC"/>
    <w:rsid w:val="00325796"/>
    <w:rsid w:val="00344F94"/>
    <w:rsid w:val="00354EB5"/>
    <w:rsid w:val="00360BBE"/>
    <w:rsid w:val="00365F33"/>
    <w:rsid w:val="00365F4C"/>
    <w:rsid w:val="00374D2C"/>
    <w:rsid w:val="003770EB"/>
    <w:rsid w:val="00391626"/>
    <w:rsid w:val="00397893"/>
    <w:rsid w:val="003A66D3"/>
    <w:rsid w:val="003A6963"/>
    <w:rsid w:val="003A6CF2"/>
    <w:rsid w:val="003C130E"/>
    <w:rsid w:val="003C1A15"/>
    <w:rsid w:val="003C5221"/>
    <w:rsid w:val="003C6380"/>
    <w:rsid w:val="003E069D"/>
    <w:rsid w:val="004119C2"/>
    <w:rsid w:val="0042512F"/>
    <w:rsid w:val="00426247"/>
    <w:rsid w:val="0042EA09"/>
    <w:rsid w:val="00432683"/>
    <w:rsid w:val="004471E5"/>
    <w:rsid w:val="0044764F"/>
    <w:rsid w:val="004575C5"/>
    <w:rsid w:val="00474DAA"/>
    <w:rsid w:val="00480788"/>
    <w:rsid w:val="004867AF"/>
    <w:rsid w:val="004A3373"/>
    <w:rsid w:val="004B0C60"/>
    <w:rsid w:val="004B1850"/>
    <w:rsid w:val="004B19B8"/>
    <w:rsid w:val="004B2F2D"/>
    <w:rsid w:val="004B600C"/>
    <w:rsid w:val="004C3D98"/>
    <w:rsid w:val="004C41F6"/>
    <w:rsid w:val="004C4C6B"/>
    <w:rsid w:val="004C5BC8"/>
    <w:rsid w:val="004D2031"/>
    <w:rsid w:val="004D40DC"/>
    <w:rsid w:val="004E19E8"/>
    <w:rsid w:val="004F4A58"/>
    <w:rsid w:val="004F4B88"/>
    <w:rsid w:val="004F717F"/>
    <w:rsid w:val="00515416"/>
    <w:rsid w:val="0051A6C2"/>
    <w:rsid w:val="00522563"/>
    <w:rsid w:val="00527BE3"/>
    <w:rsid w:val="00535D37"/>
    <w:rsid w:val="00542C62"/>
    <w:rsid w:val="00543B02"/>
    <w:rsid w:val="00552C85"/>
    <w:rsid w:val="0055688D"/>
    <w:rsid w:val="005613C5"/>
    <w:rsid w:val="00590CE0"/>
    <w:rsid w:val="005A3164"/>
    <w:rsid w:val="005A4B99"/>
    <w:rsid w:val="005B1C0C"/>
    <w:rsid w:val="005B96D6"/>
    <w:rsid w:val="005D1A2E"/>
    <w:rsid w:val="005D5BF7"/>
    <w:rsid w:val="005D6779"/>
    <w:rsid w:val="005E09B1"/>
    <w:rsid w:val="005E11FF"/>
    <w:rsid w:val="005E14A7"/>
    <w:rsid w:val="005E3460"/>
    <w:rsid w:val="005E360D"/>
    <w:rsid w:val="005F78BF"/>
    <w:rsid w:val="00606ACE"/>
    <w:rsid w:val="00616633"/>
    <w:rsid w:val="006217CC"/>
    <w:rsid w:val="0062539D"/>
    <w:rsid w:val="00626C44"/>
    <w:rsid w:val="00626F44"/>
    <w:rsid w:val="006318C2"/>
    <w:rsid w:val="00634980"/>
    <w:rsid w:val="00646BFB"/>
    <w:rsid w:val="00650F04"/>
    <w:rsid w:val="0065485B"/>
    <w:rsid w:val="00655234"/>
    <w:rsid w:val="006660C1"/>
    <w:rsid w:val="00667F2E"/>
    <w:rsid w:val="00674D76"/>
    <w:rsid w:val="00681C84"/>
    <w:rsid w:val="00683ABB"/>
    <w:rsid w:val="0069070C"/>
    <w:rsid w:val="00694649"/>
    <w:rsid w:val="006A7390"/>
    <w:rsid w:val="006B2AA0"/>
    <w:rsid w:val="006C448F"/>
    <w:rsid w:val="006D04B6"/>
    <w:rsid w:val="006E69B2"/>
    <w:rsid w:val="006F52FE"/>
    <w:rsid w:val="006F585C"/>
    <w:rsid w:val="0070516A"/>
    <w:rsid w:val="00706FC5"/>
    <w:rsid w:val="00712E0A"/>
    <w:rsid w:val="0072022F"/>
    <w:rsid w:val="00724AF0"/>
    <w:rsid w:val="007261B8"/>
    <w:rsid w:val="00727B31"/>
    <w:rsid w:val="00734B47"/>
    <w:rsid w:val="00737B56"/>
    <w:rsid w:val="00740472"/>
    <w:rsid w:val="00750B03"/>
    <w:rsid w:val="00761C1F"/>
    <w:rsid w:val="007718FD"/>
    <w:rsid w:val="00777330"/>
    <w:rsid w:val="007808FE"/>
    <w:rsid w:val="00795776"/>
    <w:rsid w:val="007A08FC"/>
    <w:rsid w:val="007B4702"/>
    <w:rsid w:val="007C4966"/>
    <w:rsid w:val="007D48FD"/>
    <w:rsid w:val="007D6E4F"/>
    <w:rsid w:val="007E55D3"/>
    <w:rsid w:val="007F5E96"/>
    <w:rsid w:val="008005FA"/>
    <w:rsid w:val="00803B39"/>
    <w:rsid w:val="00824E72"/>
    <w:rsid w:val="00826395"/>
    <w:rsid w:val="00833613"/>
    <w:rsid w:val="00834703"/>
    <w:rsid w:val="00841F6D"/>
    <w:rsid w:val="008666D8"/>
    <w:rsid w:val="00866FEE"/>
    <w:rsid w:val="0087296D"/>
    <w:rsid w:val="00875797"/>
    <w:rsid w:val="00886D2F"/>
    <w:rsid w:val="008A600D"/>
    <w:rsid w:val="008B398F"/>
    <w:rsid w:val="008B704F"/>
    <w:rsid w:val="008C21FD"/>
    <w:rsid w:val="008C421C"/>
    <w:rsid w:val="008D40C1"/>
    <w:rsid w:val="008D6CC8"/>
    <w:rsid w:val="008D7267"/>
    <w:rsid w:val="008F5957"/>
    <w:rsid w:val="009177FE"/>
    <w:rsid w:val="00922EF0"/>
    <w:rsid w:val="00927C15"/>
    <w:rsid w:val="00952AC5"/>
    <w:rsid w:val="0095348E"/>
    <w:rsid w:val="00970ED0"/>
    <w:rsid w:val="009740FF"/>
    <w:rsid w:val="00981FED"/>
    <w:rsid w:val="009922CA"/>
    <w:rsid w:val="00995302"/>
    <w:rsid w:val="0099539E"/>
    <w:rsid w:val="0099761D"/>
    <w:rsid w:val="009A053F"/>
    <w:rsid w:val="009A0A76"/>
    <w:rsid w:val="009A31C5"/>
    <w:rsid w:val="009A48E2"/>
    <w:rsid w:val="009C1997"/>
    <w:rsid w:val="009E0F1D"/>
    <w:rsid w:val="009E5282"/>
    <w:rsid w:val="009F09BE"/>
    <w:rsid w:val="009F120B"/>
    <w:rsid w:val="009F29C4"/>
    <w:rsid w:val="00A04FFB"/>
    <w:rsid w:val="00A137D7"/>
    <w:rsid w:val="00A27B4F"/>
    <w:rsid w:val="00A27E30"/>
    <w:rsid w:val="00A304E2"/>
    <w:rsid w:val="00A32E06"/>
    <w:rsid w:val="00A34D0C"/>
    <w:rsid w:val="00A3502E"/>
    <w:rsid w:val="00A50FDE"/>
    <w:rsid w:val="00A60F48"/>
    <w:rsid w:val="00A621BE"/>
    <w:rsid w:val="00A673AC"/>
    <w:rsid w:val="00A73215"/>
    <w:rsid w:val="00A74ABF"/>
    <w:rsid w:val="00A77276"/>
    <w:rsid w:val="00A777C6"/>
    <w:rsid w:val="00A77B0C"/>
    <w:rsid w:val="00A927D0"/>
    <w:rsid w:val="00A93C4B"/>
    <w:rsid w:val="00AA6E23"/>
    <w:rsid w:val="00AB2FC5"/>
    <w:rsid w:val="00AC43B0"/>
    <w:rsid w:val="00AC5C5B"/>
    <w:rsid w:val="00AD0EE3"/>
    <w:rsid w:val="00AD6EE0"/>
    <w:rsid w:val="00AE2FEB"/>
    <w:rsid w:val="00B020A5"/>
    <w:rsid w:val="00B022E8"/>
    <w:rsid w:val="00B1114E"/>
    <w:rsid w:val="00B1682C"/>
    <w:rsid w:val="00B2061D"/>
    <w:rsid w:val="00B42520"/>
    <w:rsid w:val="00B534E0"/>
    <w:rsid w:val="00B538A3"/>
    <w:rsid w:val="00B60C86"/>
    <w:rsid w:val="00B614A7"/>
    <w:rsid w:val="00B634E3"/>
    <w:rsid w:val="00B66B34"/>
    <w:rsid w:val="00B67C7E"/>
    <w:rsid w:val="00B90B3D"/>
    <w:rsid w:val="00B93719"/>
    <w:rsid w:val="00B974A8"/>
    <w:rsid w:val="00BA59F7"/>
    <w:rsid w:val="00BC4269"/>
    <w:rsid w:val="00BD6679"/>
    <w:rsid w:val="00BD6D6F"/>
    <w:rsid w:val="00BD7990"/>
    <w:rsid w:val="00BE2959"/>
    <w:rsid w:val="00BE3FA6"/>
    <w:rsid w:val="00BE53D2"/>
    <w:rsid w:val="00BE70C3"/>
    <w:rsid w:val="00BE7143"/>
    <w:rsid w:val="00BF465E"/>
    <w:rsid w:val="00C062E8"/>
    <w:rsid w:val="00C11303"/>
    <w:rsid w:val="00C14EEF"/>
    <w:rsid w:val="00C4658F"/>
    <w:rsid w:val="00C506E1"/>
    <w:rsid w:val="00C50753"/>
    <w:rsid w:val="00C50FED"/>
    <w:rsid w:val="00C67E96"/>
    <w:rsid w:val="00C766F4"/>
    <w:rsid w:val="00C80408"/>
    <w:rsid w:val="00C81085"/>
    <w:rsid w:val="00C8702E"/>
    <w:rsid w:val="00C87328"/>
    <w:rsid w:val="00C9261B"/>
    <w:rsid w:val="00C94304"/>
    <w:rsid w:val="00C94EE1"/>
    <w:rsid w:val="00C975B8"/>
    <w:rsid w:val="00CA116D"/>
    <w:rsid w:val="00CB17B3"/>
    <w:rsid w:val="00CB3F44"/>
    <w:rsid w:val="00CB6A16"/>
    <w:rsid w:val="00CD3103"/>
    <w:rsid w:val="00CD4FD1"/>
    <w:rsid w:val="00CD72CC"/>
    <w:rsid w:val="00CE00DC"/>
    <w:rsid w:val="00CE6D72"/>
    <w:rsid w:val="00CF1B30"/>
    <w:rsid w:val="00CF42FD"/>
    <w:rsid w:val="00D00B33"/>
    <w:rsid w:val="00D03E91"/>
    <w:rsid w:val="00D14FE6"/>
    <w:rsid w:val="00D23F00"/>
    <w:rsid w:val="00D35F6D"/>
    <w:rsid w:val="00D41034"/>
    <w:rsid w:val="00D451CC"/>
    <w:rsid w:val="00D5183E"/>
    <w:rsid w:val="00D5463B"/>
    <w:rsid w:val="00D7127A"/>
    <w:rsid w:val="00D72542"/>
    <w:rsid w:val="00D81BC3"/>
    <w:rsid w:val="00D846F1"/>
    <w:rsid w:val="00D85A8D"/>
    <w:rsid w:val="00D87C2E"/>
    <w:rsid w:val="00D968B2"/>
    <w:rsid w:val="00D96C18"/>
    <w:rsid w:val="00DA103B"/>
    <w:rsid w:val="00DB134B"/>
    <w:rsid w:val="00DD10F5"/>
    <w:rsid w:val="00DD250B"/>
    <w:rsid w:val="00DD4479"/>
    <w:rsid w:val="00DE465F"/>
    <w:rsid w:val="00DE66E8"/>
    <w:rsid w:val="00DF035A"/>
    <w:rsid w:val="00DFC6CE"/>
    <w:rsid w:val="00E0305F"/>
    <w:rsid w:val="00E100EA"/>
    <w:rsid w:val="00E13754"/>
    <w:rsid w:val="00E154CA"/>
    <w:rsid w:val="00E20498"/>
    <w:rsid w:val="00E2246A"/>
    <w:rsid w:val="00E24E34"/>
    <w:rsid w:val="00E261FE"/>
    <w:rsid w:val="00E2789B"/>
    <w:rsid w:val="00E32334"/>
    <w:rsid w:val="00E32C0F"/>
    <w:rsid w:val="00E403BE"/>
    <w:rsid w:val="00E45E40"/>
    <w:rsid w:val="00E51468"/>
    <w:rsid w:val="00E53A6C"/>
    <w:rsid w:val="00E66EB6"/>
    <w:rsid w:val="00E726E9"/>
    <w:rsid w:val="00E73084"/>
    <w:rsid w:val="00E76D09"/>
    <w:rsid w:val="00E83113"/>
    <w:rsid w:val="00E84CA5"/>
    <w:rsid w:val="00E877F0"/>
    <w:rsid w:val="00E909DB"/>
    <w:rsid w:val="00E96CAD"/>
    <w:rsid w:val="00EA2BE7"/>
    <w:rsid w:val="00EB350D"/>
    <w:rsid w:val="00EB3E71"/>
    <w:rsid w:val="00EB5CC1"/>
    <w:rsid w:val="00EB6D33"/>
    <w:rsid w:val="00EB731E"/>
    <w:rsid w:val="00EC1353"/>
    <w:rsid w:val="00EC5E1F"/>
    <w:rsid w:val="00EC7B31"/>
    <w:rsid w:val="00ED19AB"/>
    <w:rsid w:val="00ED464F"/>
    <w:rsid w:val="00EF271A"/>
    <w:rsid w:val="00F02DAE"/>
    <w:rsid w:val="00F05331"/>
    <w:rsid w:val="00F161EB"/>
    <w:rsid w:val="00F21D60"/>
    <w:rsid w:val="00F35BB6"/>
    <w:rsid w:val="00F4141F"/>
    <w:rsid w:val="00F4674D"/>
    <w:rsid w:val="00F52206"/>
    <w:rsid w:val="00F54918"/>
    <w:rsid w:val="00F60C83"/>
    <w:rsid w:val="00F706AD"/>
    <w:rsid w:val="00F8129E"/>
    <w:rsid w:val="00F93ED9"/>
    <w:rsid w:val="00FC6B79"/>
    <w:rsid w:val="00FD6FEE"/>
    <w:rsid w:val="00FF0597"/>
    <w:rsid w:val="00FF63A8"/>
    <w:rsid w:val="00FF7E38"/>
    <w:rsid w:val="019047F6"/>
    <w:rsid w:val="01A621FA"/>
    <w:rsid w:val="01C1D147"/>
    <w:rsid w:val="01FDEB9F"/>
    <w:rsid w:val="026434B1"/>
    <w:rsid w:val="02D8124D"/>
    <w:rsid w:val="02EF1B42"/>
    <w:rsid w:val="032511B6"/>
    <w:rsid w:val="03313AE0"/>
    <w:rsid w:val="033BCFF6"/>
    <w:rsid w:val="037F07F9"/>
    <w:rsid w:val="03820317"/>
    <w:rsid w:val="03AA8164"/>
    <w:rsid w:val="03E9935B"/>
    <w:rsid w:val="03F5FBD3"/>
    <w:rsid w:val="0441807B"/>
    <w:rsid w:val="046DD38D"/>
    <w:rsid w:val="04BAC9BD"/>
    <w:rsid w:val="04EBB8A9"/>
    <w:rsid w:val="0511499A"/>
    <w:rsid w:val="0526773C"/>
    <w:rsid w:val="052CBCBF"/>
    <w:rsid w:val="05B72A10"/>
    <w:rsid w:val="05BFA6A8"/>
    <w:rsid w:val="06067F7B"/>
    <w:rsid w:val="065A6414"/>
    <w:rsid w:val="065F4B4A"/>
    <w:rsid w:val="066066D5"/>
    <w:rsid w:val="0688AE04"/>
    <w:rsid w:val="06A8B7D0"/>
    <w:rsid w:val="07044CD6"/>
    <w:rsid w:val="07678877"/>
    <w:rsid w:val="07809A3C"/>
    <w:rsid w:val="0788C1B0"/>
    <w:rsid w:val="0805C3BC"/>
    <w:rsid w:val="083DDCF8"/>
    <w:rsid w:val="0874E4D1"/>
    <w:rsid w:val="0885987F"/>
    <w:rsid w:val="088B69FE"/>
    <w:rsid w:val="08A7CE1D"/>
    <w:rsid w:val="08BA1BB3"/>
    <w:rsid w:val="0980F23E"/>
    <w:rsid w:val="09D8AF4B"/>
    <w:rsid w:val="0A1E9EDB"/>
    <w:rsid w:val="0A204F74"/>
    <w:rsid w:val="0A587555"/>
    <w:rsid w:val="0A6A34B6"/>
    <w:rsid w:val="0ADEF953"/>
    <w:rsid w:val="0B15679D"/>
    <w:rsid w:val="0B796215"/>
    <w:rsid w:val="0BABFFE6"/>
    <w:rsid w:val="0BEBA8A5"/>
    <w:rsid w:val="0BF429F9"/>
    <w:rsid w:val="0C1B1071"/>
    <w:rsid w:val="0C5FE6A6"/>
    <w:rsid w:val="0C9CA63E"/>
    <w:rsid w:val="0CEAFC01"/>
    <w:rsid w:val="0D6C8914"/>
    <w:rsid w:val="0DEF958C"/>
    <w:rsid w:val="0E3E2338"/>
    <w:rsid w:val="0E79E112"/>
    <w:rsid w:val="0E822722"/>
    <w:rsid w:val="0F21E2D3"/>
    <w:rsid w:val="0F7605B9"/>
    <w:rsid w:val="0F822184"/>
    <w:rsid w:val="0F8C346E"/>
    <w:rsid w:val="0FAEE7D7"/>
    <w:rsid w:val="0FD17ECB"/>
    <w:rsid w:val="0FE9743D"/>
    <w:rsid w:val="0FF17CF1"/>
    <w:rsid w:val="100426A7"/>
    <w:rsid w:val="100856DD"/>
    <w:rsid w:val="103ED9E7"/>
    <w:rsid w:val="10463DD9"/>
    <w:rsid w:val="1047BDC6"/>
    <w:rsid w:val="10674DD3"/>
    <w:rsid w:val="106D1C70"/>
    <w:rsid w:val="10898EA1"/>
    <w:rsid w:val="10C3BAF6"/>
    <w:rsid w:val="10C5E5F0"/>
    <w:rsid w:val="10F561BF"/>
    <w:rsid w:val="1101DCF3"/>
    <w:rsid w:val="11265DFD"/>
    <w:rsid w:val="11E2DC46"/>
    <w:rsid w:val="11E5FE58"/>
    <w:rsid w:val="11FEE7F1"/>
    <w:rsid w:val="1209B9E7"/>
    <w:rsid w:val="122BBD57"/>
    <w:rsid w:val="123455D8"/>
    <w:rsid w:val="123FE8D7"/>
    <w:rsid w:val="12564AF8"/>
    <w:rsid w:val="12587186"/>
    <w:rsid w:val="128ECECE"/>
    <w:rsid w:val="12AE2180"/>
    <w:rsid w:val="12B8CD01"/>
    <w:rsid w:val="12D21AE1"/>
    <w:rsid w:val="12D39EB6"/>
    <w:rsid w:val="1300888A"/>
    <w:rsid w:val="131E8D2D"/>
    <w:rsid w:val="13568808"/>
    <w:rsid w:val="137697B0"/>
    <w:rsid w:val="1406B325"/>
    <w:rsid w:val="143425B0"/>
    <w:rsid w:val="147B2982"/>
    <w:rsid w:val="14C5B2DF"/>
    <w:rsid w:val="151C29A1"/>
    <w:rsid w:val="153E6643"/>
    <w:rsid w:val="1548535B"/>
    <w:rsid w:val="1552D0D9"/>
    <w:rsid w:val="1558A9A6"/>
    <w:rsid w:val="160B9A28"/>
    <w:rsid w:val="16CE9725"/>
    <w:rsid w:val="17482C38"/>
    <w:rsid w:val="178ACB55"/>
    <w:rsid w:val="17A0C980"/>
    <w:rsid w:val="17BCB0C7"/>
    <w:rsid w:val="17C6EBA1"/>
    <w:rsid w:val="17F5D75B"/>
    <w:rsid w:val="18058357"/>
    <w:rsid w:val="181832E7"/>
    <w:rsid w:val="182E7B7C"/>
    <w:rsid w:val="1856A152"/>
    <w:rsid w:val="189088BA"/>
    <w:rsid w:val="18C12730"/>
    <w:rsid w:val="18DC7AE7"/>
    <w:rsid w:val="1958FF5F"/>
    <w:rsid w:val="195F34ED"/>
    <w:rsid w:val="198B785F"/>
    <w:rsid w:val="1A155D2A"/>
    <w:rsid w:val="1A612BA8"/>
    <w:rsid w:val="1A9135D7"/>
    <w:rsid w:val="1B2932C6"/>
    <w:rsid w:val="1B3C874B"/>
    <w:rsid w:val="1B406D7F"/>
    <w:rsid w:val="1B7772E7"/>
    <w:rsid w:val="1BF38E82"/>
    <w:rsid w:val="1C67E46F"/>
    <w:rsid w:val="1C897C33"/>
    <w:rsid w:val="1C903FAC"/>
    <w:rsid w:val="1C9079CA"/>
    <w:rsid w:val="1C9208CF"/>
    <w:rsid w:val="1CBB10F7"/>
    <w:rsid w:val="1CE3A27C"/>
    <w:rsid w:val="1CE71F3E"/>
    <w:rsid w:val="1D0F481A"/>
    <w:rsid w:val="1D1D5DED"/>
    <w:rsid w:val="1D898BE8"/>
    <w:rsid w:val="1DED0259"/>
    <w:rsid w:val="1E28A279"/>
    <w:rsid w:val="1E56AA7E"/>
    <w:rsid w:val="1E61DA3B"/>
    <w:rsid w:val="1E6226A5"/>
    <w:rsid w:val="1EBB0A58"/>
    <w:rsid w:val="1EE67D98"/>
    <w:rsid w:val="1EEBC8B5"/>
    <w:rsid w:val="1F1812D5"/>
    <w:rsid w:val="1F1812D8"/>
    <w:rsid w:val="1F30BA4C"/>
    <w:rsid w:val="1F39FE4F"/>
    <w:rsid w:val="1F41A6BF"/>
    <w:rsid w:val="1F4C93B2"/>
    <w:rsid w:val="1F764324"/>
    <w:rsid w:val="1FA7E8CB"/>
    <w:rsid w:val="1FF81978"/>
    <w:rsid w:val="202A5CAB"/>
    <w:rsid w:val="2038CEBA"/>
    <w:rsid w:val="205A32A5"/>
    <w:rsid w:val="20F343D8"/>
    <w:rsid w:val="21F29A31"/>
    <w:rsid w:val="22305F6A"/>
    <w:rsid w:val="22725917"/>
    <w:rsid w:val="22AE0E6B"/>
    <w:rsid w:val="22D3F277"/>
    <w:rsid w:val="231AA540"/>
    <w:rsid w:val="232B3953"/>
    <w:rsid w:val="236FE22D"/>
    <w:rsid w:val="2389E6D9"/>
    <w:rsid w:val="23F018DF"/>
    <w:rsid w:val="23FF3FED"/>
    <w:rsid w:val="242ADCF3"/>
    <w:rsid w:val="24FFCCEF"/>
    <w:rsid w:val="25897642"/>
    <w:rsid w:val="259BB337"/>
    <w:rsid w:val="25A0CCF9"/>
    <w:rsid w:val="25C8FCCE"/>
    <w:rsid w:val="26078E16"/>
    <w:rsid w:val="26373E28"/>
    <w:rsid w:val="2648AF16"/>
    <w:rsid w:val="2661CAF6"/>
    <w:rsid w:val="26D9D24E"/>
    <w:rsid w:val="272EE29D"/>
    <w:rsid w:val="27508E1E"/>
    <w:rsid w:val="27BE1043"/>
    <w:rsid w:val="27C6B8B4"/>
    <w:rsid w:val="27EF45A1"/>
    <w:rsid w:val="27FACB70"/>
    <w:rsid w:val="282270B7"/>
    <w:rsid w:val="284B18AB"/>
    <w:rsid w:val="28D5BE9F"/>
    <w:rsid w:val="293F4AFC"/>
    <w:rsid w:val="2942E6B6"/>
    <w:rsid w:val="294F00F0"/>
    <w:rsid w:val="296CB3F3"/>
    <w:rsid w:val="29833419"/>
    <w:rsid w:val="29907542"/>
    <w:rsid w:val="2992B8FA"/>
    <w:rsid w:val="29A3381A"/>
    <w:rsid w:val="29A64005"/>
    <w:rsid w:val="29BD6B05"/>
    <w:rsid w:val="29DC7F4F"/>
    <w:rsid w:val="2A433F35"/>
    <w:rsid w:val="2A64B711"/>
    <w:rsid w:val="2AB3CBCF"/>
    <w:rsid w:val="2AEB3A39"/>
    <w:rsid w:val="2B66CD79"/>
    <w:rsid w:val="2B68DCA9"/>
    <w:rsid w:val="2B75A3EC"/>
    <w:rsid w:val="2B8A1C85"/>
    <w:rsid w:val="2BF63E5B"/>
    <w:rsid w:val="2C1D59BA"/>
    <w:rsid w:val="2C1EBB45"/>
    <w:rsid w:val="2C26AD58"/>
    <w:rsid w:val="2C31945E"/>
    <w:rsid w:val="2C643EA7"/>
    <w:rsid w:val="2C6ACD6D"/>
    <w:rsid w:val="2C8C5E2E"/>
    <w:rsid w:val="2CA5E2CE"/>
    <w:rsid w:val="2CAD85C0"/>
    <w:rsid w:val="2CB2A38C"/>
    <w:rsid w:val="2CD5B275"/>
    <w:rsid w:val="2CD97A95"/>
    <w:rsid w:val="2CDC45D1"/>
    <w:rsid w:val="2CE34FEC"/>
    <w:rsid w:val="2D09D80D"/>
    <w:rsid w:val="2D2BDA5F"/>
    <w:rsid w:val="2D6B5D63"/>
    <w:rsid w:val="2DD5E119"/>
    <w:rsid w:val="2E8A0187"/>
    <w:rsid w:val="2E97302A"/>
    <w:rsid w:val="2EAF965A"/>
    <w:rsid w:val="2ED6D6A9"/>
    <w:rsid w:val="2EEC16A4"/>
    <w:rsid w:val="2F0B1F75"/>
    <w:rsid w:val="2F19362C"/>
    <w:rsid w:val="2FA1EF34"/>
    <w:rsid w:val="2FD23049"/>
    <w:rsid w:val="2FEE2B9E"/>
    <w:rsid w:val="30027365"/>
    <w:rsid w:val="30294810"/>
    <w:rsid w:val="305E297F"/>
    <w:rsid w:val="30A33D4E"/>
    <w:rsid w:val="30B3CC5B"/>
    <w:rsid w:val="30B724A7"/>
    <w:rsid w:val="311A2656"/>
    <w:rsid w:val="31912F24"/>
    <w:rsid w:val="31B22A96"/>
    <w:rsid w:val="31C20C1B"/>
    <w:rsid w:val="324266DB"/>
    <w:rsid w:val="328DEB0A"/>
    <w:rsid w:val="330CD08B"/>
    <w:rsid w:val="3325F69F"/>
    <w:rsid w:val="333B8FC9"/>
    <w:rsid w:val="333D82B1"/>
    <w:rsid w:val="33AF02CF"/>
    <w:rsid w:val="33C162C7"/>
    <w:rsid w:val="33ED8EC0"/>
    <w:rsid w:val="33F83BB3"/>
    <w:rsid w:val="34466673"/>
    <w:rsid w:val="346BCE7E"/>
    <w:rsid w:val="347B9D11"/>
    <w:rsid w:val="349C2A3D"/>
    <w:rsid w:val="34B34BF6"/>
    <w:rsid w:val="34CE75BE"/>
    <w:rsid w:val="34EDE46D"/>
    <w:rsid w:val="3558AD29"/>
    <w:rsid w:val="35AE00DC"/>
    <w:rsid w:val="35DBE7D3"/>
    <w:rsid w:val="36375ABF"/>
    <w:rsid w:val="369016FB"/>
    <w:rsid w:val="36D116A5"/>
    <w:rsid w:val="36D50664"/>
    <w:rsid w:val="36E7A246"/>
    <w:rsid w:val="370014E7"/>
    <w:rsid w:val="3717B740"/>
    <w:rsid w:val="373EF1E4"/>
    <w:rsid w:val="378730FD"/>
    <w:rsid w:val="3789B199"/>
    <w:rsid w:val="3852DC3C"/>
    <w:rsid w:val="3856E401"/>
    <w:rsid w:val="389D2674"/>
    <w:rsid w:val="38F1D77C"/>
    <w:rsid w:val="392DBC0C"/>
    <w:rsid w:val="396C91AC"/>
    <w:rsid w:val="397D6FF7"/>
    <w:rsid w:val="39CE8BB6"/>
    <w:rsid w:val="3A0729EB"/>
    <w:rsid w:val="3AADF857"/>
    <w:rsid w:val="3AD397C5"/>
    <w:rsid w:val="3AF40462"/>
    <w:rsid w:val="3AFA9111"/>
    <w:rsid w:val="3B1C3802"/>
    <w:rsid w:val="3B2F5AB4"/>
    <w:rsid w:val="3B31A192"/>
    <w:rsid w:val="3B5936F4"/>
    <w:rsid w:val="3B6CD6CE"/>
    <w:rsid w:val="3B76C54D"/>
    <w:rsid w:val="3B8A99B2"/>
    <w:rsid w:val="3B95F920"/>
    <w:rsid w:val="3B96CB44"/>
    <w:rsid w:val="3C53BD11"/>
    <w:rsid w:val="3C65953F"/>
    <w:rsid w:val="3D492998"/>
    <w:rsid w:val="3D4CDAEC"/>
    <w:rsid w:val="3D6813FA"/>
    <w:rsid w:val="3D7047D0"/>
    <w:rsid w:val="3D936270"/>
    <w:rsid w:val="3DBE9547"/>
    <w:rsid w:val="3DDA6634"/>
    <w:rsid w:val="3DFBECAC"/>
    <w:rsid w:val="3E0D51FB"/>
    <w:rsid w:val="3E471A9F"/>
    <w:rsid w:val="3E51EB60"/>
    <w:rsid w:val="3E54F270"/>
    <w:rsid w:val="3E67BD6E"/>
    <w:rsid w:val="3EFC8D69"/>
    <w:rsid w:val="3F031A90"/>
    <w:rsid w:val="3F2A9CF8"/>
    <w:rsid w:val="3F586D66"/>
    <w:rsid w:val="3F92F400"/>
    <w:rsid w:val="40089048"/>
    <w:rsid w:val="402F3004"/>
    <w:rsid w:val="4064662A"/>
    <w:rsid w:val="4066FF5F"/>
    <w:rsid w:val="40693332"/>
    <w:rsid w:val="4077E662"/>
    <w:rsid w:val="4090E988"/>
    <w:rsid w:val="40DAB327"/>
    <w:rsid w:val="4110A8DF"/>
    <w:rsid w:val="412D7FC0"/>
    <w:rsid w:val="41397720"/>
    <w:rsid w:val="41DE8BF8"/>
    <w:rsid w:val="4200B81E"/>
    <w:rsid w:val="421087C4"/>
    <w:rsid w:val="42307C44"/>
    <w:rsid w:val="4244542A"/>
    <w:rsid w:val="42D43B89"/>
    <w:rsid w:val="42DFD0B1"/>
    <w:rsid w:val="43182098"/>
    <w:rsid w:val="431D3780"/>
    <w:rsid w:val="434FA17C"/>
    <w:rsid w:val="43731287"/>
    <w:rsid w:val="439FD2F8"/>
    <w:rsid w:val="43A7748E"/>
    <w:rsid w:val="442C32F3"/>
    <w:rsid w:val="44628EF0"/>
    <w:rsid w:val="44F317F8"/>
    <w:rsid w:val="45019737"/>
    <w:rsid w:val="4566EE1F"/>
    <w:rsid w:val="457C93A1"/>
    <w:rsid w:val="457D2B76"/>
    <w:rsid w:val="457FA8D1"/>
    <w:rsid w:val="458FFE72"/>
    <w:rsid w:val="45B74D9A"/>
    <w:rsid w:val="45B90EA1"/>
    <w:rsid w:val="46BCFCA9"/>
    <w:rsid w:val="46E76529"/>
    <w:rsid w:val="4764C540"/>
    <w:rsid w:val="47B4DDEE"/>
    <w:rsid w:val="47F18BE9"/>
    <w:rsid w:val="484D430D"/>
    <w:rsid w:val="486959C0"/>
    <w:rsid w:val="48914D4B"/>
    <w:rsid w:val="48A37304"/>
    <w:rsid w:val="48C07979"/>
    <w:rsid w:val="4913AE66"/>
    <w:rsid w:val="49150183"/>
    <w:rsid w:val="4915C0EA"/>
    <w:rsid w:val="49896E11"/>
    <w:rsid w:val="499A5CC7"/>
    <w:rsid w:val="49D88413"/>
    <w:rsid w:val="4A1D43F3"/>
    <w:rsid w:val="4A32D84C"/>
    <w:rsid w:val="4B088936"/>
    <w:rsid w:val="4BCA26A0"/>
    <w:rsid w:val="4BF4F75F"/>
    <w:rsid w:val="4BF543FA"/>
    <w:rsid w:val="4C46532D"/>
    <w:rsid w:val="4CD9AC4E"/>
    <w:rsid w:val="4D2B6F20"/>
    <w:rsid w:val="4D364990"/>
    <w:rsid w:val="4DDAAB41"/>
    <w:rsid w:val="4DE4469C"/>
    <w:rsid w:val="4DEF41B0"/>
    <w:rsid w:val="4E0B583B"/>
    <w:rsid w:val="4E138F11"/>
    <w:rsid w:val="4E2E76B0"/>
    <w:rsid w:val="4E96601D"/>
    <w:rsid w:val="4E9A64B6"/>
    <w:rsid w:val="4EA89038"/>
    <w:rsid w:val="4EF88FDD"/>
    <w:rsid w:val="4F1C50EA"/>
    <w:rsid w:val="4F20219B"/>
    <w:rsid w:val="4F6A065B"/>
    <w:rsid w:val="4F8CA370"/>
    <w:rsid w:val="5003A267"/>
    <w:rsid w:val="50A7501A"/>
    <w:rsid w:val="50B1830B"/>
    <w:rsid w:val="50E6B76A"/>
    <w:rsid w:val="514FFE1A"/>
    <w:rsid w:val="5158F57C"/>
    <w:rsid w:val="51642FF6"/>
    <w:rsid w:val="519A8C4B"/>
    <w:rsid w:val="51AC8CD5"/>
    <w:rsid w:val="51B8B660"/>
    <w:rsid w:val="51D0C1B0"/>
    <w:rsid w:val="51EABFF3"/>
    <w:rsid w:val="52506A19"/>
    <w:rsid w:val="52598247"/>
    <w:rsid w:val="52AFED13"/>
    <w:rsid w:val="52B15706"/>
    <w:rsid w:val="52D05E98"/>
    <w:rsid w:val="53474BC6"/>
    <w:rsid w:val="53E62D17"/>
    <w:rsid w:val="53E8FE60"/>
    <w:rsid w:val="53F3E7C3"/>
    <w:rsid w:val="54111809"/>
    <w:rsid w:val="54347068"/>
    <w:rsid w:val="547C1FEF"/>
    <w:rsid w:val="54F7423E"/>
    <w:rsid w:val="55275F9D"/>
    <w:rsid w:val="5589712D"/>
    <w:rsid w:val="558F842B"/>
    <w:rsid w:val="5595C363"/>
    <w:rsid w:val="55B59840"/>
    <w:rsid w:val="5623AEB7"/>
    <w:rsid w:val="5644D117"/>
    <w:rsid w:val="565A4032"/>
    <w:rsid w:val="56B14B23"/>
    <w:rsid w:val="56BD54D2"/>
    <w:rsid w:val="56DDC328"/>
    <w:rsid w:val="56FA4BA4"/>
    <w:rsid w:val="570A1338"/>
    <w:rsid w:val="572D135C"/>
    <w:rsid w:val="57589925"/>
    <w:rsid w:val="57770831"/>
    <w:rsid w:val="583F1E03"/>
    <w:rsid w:val="5847AF7D"/>
    <w:rsid w:val="586A8E1B"/>
    <w:rsid w:val="58890D02"/>
    <w:rsid w:val="58B51DC8"/>
    <w:rsid w:val="58B99496"/>
    <w:rsid w:val="58EB1824"/>
    <w:rsid w:val="58FBAE08"/>
    <w:rsid w:val="591BB6BB"/>
    <w:rsid w:val="5929C46A"/>
    <w:rsid w:val="599A0894"/>
    <w:rsid w:val="59AB6A2C"/>
    <w:rsid w:val="59B7845C"/>
    <w:rsid w:val="59D41B1C"/>
    <w:rsid w:val="5A3A7F98"/>
    <w:rsid w:val="5AC73F43"/>
    <w:rsid w:val="5AEAABF6"/>
    <w:rsid w:val="5B411A52"/>
    <w:rsid w:val="5B5EE08B"/>
    <w:rsid w:val="5B863503"/>
    <w:rsid w:val="5BAA0299"/>
    <w:rsid w:val="5BAC900D"/>
    <w:rsid w:val="5BAF3D30"/>
    <w:rsid w:val="5BDEC1CF"/>
    <w:rsid w:val="5C4AA52E"/>
    <w:rsid w:val="5C6D90E4"/>
    <w:rsid w:val="5C9AAA2D"/>
    <w:rsid w:val="5CC46A64"/>
    <w:rsid w:val="5CC6DFAD"/>
    <w:rsid w:val="5CE720D0"/>
    <w:rsid w:val="5CFA66E2"/>
    <w:rsid w:val="5D10956A"/>
    <w:rsid w:val="5D3EB8E7"/>
    <w:rsid w:val="5D4DBAB4"/>
    <w:rsid w:val="5DA450B5"/>
    <w:rsid w:val="5DADC87D"/>
    <w:rsid w:val="5DF9657C"/>
    <w:rsid w:val="5E2D0B0A"/>
    <w:rsid w:val="5E635075"/>
    <w:rsid w:val="5E676D2E"/>
    <w:rsid w:val="5E6D19BF"/>
    <w:rsid w:val="5EFEF1BA"/>
    <w:rsid w:val="5F2CCDB6"/>
    <w:rsid w:val="5F5E285D"/>
    <w:rsid w:val="5F8B07F0"/>
    <w:rsid w:val="601EF7DC"/>
    <w:rsid w:val="60600C6D"/>
    <w:rsid w:val="60A9F312"/>
    <w:rsid w:val="60B88D78"/>
    <w:rsid w:val="60CE22C7"/>
    <w:rsid w:val="60DBB0EA"/>
    <w:rsid w:val="6102C3A7"/>
    <w:rsid w:val="61044C21"/>
    <w:rsid w:val="6158B75E"/>
    <w:rsid w:val="6160FEB1"/>
    <w:rsid w:val="618D6FEB"/>
    <w:rsid w:val="61C4D0C2"/>
    <w:rsid w:val="620F79BE"/>
    <w:rsid w:val="622AB396"/>
    <w:rsid w:val="622E63F7"/>
    <w:rsid w:val="62AF51A6"/>
    <w:rsid w:val="62FD4DB7"/>
    <w:rsid w:val="634DAD60"/>
    <w:rsid w:val="6382637D"/>
    <w:rsid w:val="63ECE10B"/>
    <w:rsid w:val="6408807B"/>
    <w:rsid w:val="64285A39"/>
    <w:rsid w:val="6443A53F"/>
    <w:rsid w:val="64F44FF8"/>
    <w:rsid w:val="657193A0"/>
    <w:rsid w:val="65C7D31B"/>
    <w:rsid w:val="65C7E80C"/>
    <w:rsid w:val="6631DAA7"/>
    <w:rsid w:val="66347808"/>
    <w:rsid w:val="667B0717"/>
    <w:rsid w:val="669DAA55"/>
    <w:rsid w:val="66C3D83A"/>
    <w:rsid w:val="670BCFA2"/>
    <w:rsid w:val="6723A2CB"/>
    <w:rsid w:val="6753843F"/>
    <w:rsid w:val="676E8DA7"/>
    <w:rsid w:val="678F6FB1"/>
    <w:rsid w:val="67D04E32"/>
    <w:rsid w:val="67F252A8"/>
    <w:rsid w:val="684FE3AD"/>
    <w:rsid w:val="685EC33A"/>
    <w:rsid w:val="68BD799A"/>
    <w:rsid w:val="68C5B6BD"/>
    <w:rsid w:val="68CD5751"/>
    <w:rsid w:val="68FD2F57"/>
    <w:rsid w:val="6934C9D3"/>
    <w:rsid w:val="6974230F"/>
    <w:rsid w:val="697A44FA"/>
    <w:rsid w:val="69BB0590"/>
    <w:rsid w:val="6A120728"/>
    <w:rsid w:val="6A201B36"/>
    <w:rsid w:val="6A3E355E"/>
    <w:rsid w:val="6A51CE5D"/>
    <w:rsid w:val="6A61C314"/>
    <w:rsid w:val="6A7ABD0E"/>
    <w:rsid w:val="6AAB59B9"/>
    <w:rsid w:val="6AB4A388"/>
    <w:rsid w:val="6AD94BCD"/>
    <w:rsid w:val="6ADBEC87"/>
    <w:rsid w:val="6ADF49F5"/>
    <w:rsid w:val="6B085E5C"/>
    <w:rsid w:val="6B3E507A"/>
    <w:rsid w:val="6BE37659"/>
    <w:rsid w:val="6BFCCA05"/>
    <w:rsid w:val="6C013ADD"/>
    <w:rsid w:val="6C058A0D"/>
    <w:rsid w:val="6C70FA9F"/>
    <w:rsid w:val="6CA07C24"/>
    <w:rsid w:val="6CB0CA5B"/>
    <w:rsid w:val="6CBB43D9"/>
    <w:rsid w:val="6CFB5716"/>
    <w:rsid w:val="6D503849"/>
    <w:rsid w:val="6D75D284"/>
    <w:rsid w:val="6E687859"/>
    <w:rsid w:val="6E914334"/>
    <w:rsid w:val="6EBED2FD"/>
    <w:rsid w:val="6F137C4D"/>
    <w:rsid w:val="6F248D08"/>
    <w:rsid w:val="6F366FFE"/>
    <w:rsid w:val="6F87B8C9"/>
    <w:rsid w:val="6FC7EC26"/>
    <w:rsid w:val="6FFA9D7C"/>
    <w:rsid w:val="703F277D"/>
    <w:rsid w:val="70437D26"/>
    <w:rsid w:val="70522927"/>
    <w:rsid w:val="70805512"/>
    <w:rsid w:val="7081B5F6"/>
    <w:rsid w:val="7083E1DD"/>
    <w:rsid w:val="70843B29"/>
    <w:rsid w:val="70BC0743"/>
    <w:rsid w:val="70F0264A"/>
    <w:rsid w:val="70F6D208"/>
    <w:rsid w:val="71711594"/>
    <w:rsid w:val="71889536"/>
    <w:rsid w:val="7194C45C"/>
    <w:rsid w:val="71B4F74D"/>
    <w:rsid w:val="71E26DE8"/>
    <w:rsid w:val="71F4339D"/>
    <w:rsid w:val="71F45A0D"/>
    <w:rsid w:val="7225B23E"/>
    <w:rsid w:val="726A1B46"/>
    <w:rsid w:val="7285820F"/>
    <w:rsid w:val="728C15E0"/>
    <w:rsid w:val="72D21FAD"/>
    <w:rsid w:val="72FD254F"/>
    <w:rsid w:val="732046AF"/>
    <w:rsid w:val="73207CB8"/>
    <w:rsid w:val="73410B93"/>
    <w:rsid w:val="7366B60A"/>
    <w:rsid w:val="736EBCFF"/>
    <w:rsid w:val="73DC990F"/>
    <w:rsid w:val="73E01918"/>
    <w:rsid w:val="7425D840"/>
    <w:rsid w:val="744588B0"/>
    <w:rsid w:val="7475BED3"/>
    <w:rsid w:val="74E2BD11"/>
    <w:rsid w:val="74F93FC1"/>
    <w:rsid w:val="750B34E5"/>
    <w:rsid w:val="7529C30D"/>
    <w:rsid w:val="75820C95"/>
    <w:rsid w:val="75E3B0DD"/>
    <w:rsid w:val="76367131"/>
    <w:rsid w:val="763701E2"/>
    <w:rsid w:val="76876410"/>
    <w:rsid w:val="76B7B155"/>
    <w:rsid w:val="76C8173D"/>
    <w:rsid w:val="77129FC9"/>
    <w:rsid w:val="77554611"/>
    <w:rsid w:val="7780CDAB"/>
    <w:rsid w:val="77892525"/>
    <w:rsid w:val="77D38289"/>
    <w:rsid w:val="7803E4CB"/>
    <w:rsid w:val="780AC7B0"/>
    <w:rsid w:val="78415951"/>
    <w:rsid w:val="785DFB17"/>
    <w:rsid w:val="78ED4B86"/>
    <w:rsid w:val="78EE2018"/>
    <w:rsid w:val="794F4442"/>
    <w:rsid w:val="79A403AF"/>
    <w:rsid w:val="79E323D0"/>
    <w:rsid w:val="7A473128"/>
    <w:rsid w:val="7AC6242E"/>
    <w:rsid w:val="7B08B169"/>
    <w:rsid w:val="7B485B74"/>
    <w:rsid w:val="7B4C3087"/>
    <w:rsid w:val="7B58B074"/>
    <w:rsid w:val="7B6A80C2"/>
    <w:rsid w:val="7B930592"/>
    <w:rsid w:val="7BD9CA30"/>
    <w:rsid w:val="7BE09F36"/>
    <w:rsid w:val="7C085DC1"/>
    <w:rsid w:val="7C1BF643"/>
    <w:rsid w:val="7C24EEB3"/>
    <w:rsid w:val="7C3416E7"/>
    <w:rsid w:val="7C40F890"/>
    <w:rsid w:val="7C4AE576"/>
    <w:rsid w:val="7C4D9DB0"/>
    <w:rsid w:val="7C841E5B"/>
    <w:rsid w:val="7C86AD14"/>
    <w:rsid w:val="7CF9C54F"/>
    <w:rsid w:val="7CFDD0EE"/>
    <w:rsid w:val="7D165D02"/>
    <w:rsid w:val="7D34A6E9"/>
    <w:rsid w:val="7D88EA88"/>
    <w:rsid w:val="7DFFD3B5"/>
    <w:rsid w:val="7E1436A8"/>
    <w:rsid w:val="7E36080D"/>
    <w:rsid w:val="7E6C03BF"/>
    <w:rsid w:val="7E92F7FA"/>
    <w:rsid w:val="7EB57EF9"/>
    <w:rsid w:val="7EE4B6F7"/>
    <w:rsid w:val="7F186AF7"/>
    <w:rsid w:val="7F21B349"/>
    <w:rsid w:val="7F4B794B"/>
    <w:rsid w:val="7F7D701F"/>
    <w:rsid w:val="7FBEDF51"/>
    <w:rsid w:val="7FF4B52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8F008"/>
  <w15:docId w15:val="{F2A364D1-F6B8-4C48-8652-DAA66E55C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sz w:val="22"/>
        <w:szCs w:val="22"/>
        <w:lang w:val="es-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93A2E"/>
    <w:pPr>
      <w:spacing w:before="120" w:after="120" w:line="360" w:lineRule="auto"/>
      <w:jc w:val="both"/>
    </w:pPr>
    <w:rPr>
      <w:rFonts w:ascii="Arial" w:hAnsi="Arial"/>
    </w:rPr>
  </w:style>
  <w:style w:type="paragraph" w:styleId="Ttulo1">
    <w:name w:val="heading 1"/>
    <w:basedOn w:val="Normal"/>
    <w:link w:val="Ttulo1Car"/>
    <w:uiPriority w:val="9"/>
    <w:qFormat/>
    <w:rsid w:val="00247AA6"/>
    <w:pPr>
      <w:numPr>
        <w:numId w:val="1"/>
      </w:numPr>
      <w:ind w:right="1987"/>
      <w:outlineLvl w:val="0"/>
    </w:pPr>
    <w:rPr>
      <w:b/>
      <w:bCs/>
    </w:rPr>
  </w:style>
  <w:style w:type="paragraph" w:styleId="Ttulo2">
    <w:name w:val="heading 2"/>
    <w:basedOn w:val="Normal"/>
    <w:next w:val="Normal"/>
    <w:rsid w:val="00247AA6"/>
    <w:pPr>
      <w:keepNext/>
      <w:keepLines/>
      <w:numPr>
        <w:ilvl w:val="1"/>
        <w:numId w:val="1"/>
      </w:numPr>
      <w:spacing w:before="240"/>
      <w:ind w:left="576"/>
      <w:outlineLvl w:val="1"/>
    </w:pPr>
    <w:rPr>
      <w:b/>
      <w:szCs w:val="36"/>
    </w:rPr>
  </w:style>
  <w:style w:type="paragraph" w:styleId="Ttulo3">
    <w:name w:val="heading 3"/>
    <w:basedOn w:val="Normal"/>
    <w:next w:val="Normal"/>
    <w:rsid w:val="008D6CC8"/>
    <w:pPr>
      <w:keepNext/>
      <w:keepLines/>
      <w:numPr>
        <w:ilvl w:val="2"/>
        <w:numId w:val="1"/>
      </w:numPr>
      <w:spacing w:before="280" w:after="80"/>
      <w:outlineLvl w:val="2"/>
    </w:pPr>
    <w:rPr>
      <w:b/>
      <w:szCs w:val="28"/>
    </w:rPr>
  </w:style>
  <w:style w:type="paragraph" w:styleId="Ttulo4">
    <w:name w:val="heading 4"/>
    <w:basedOn w:val="Normal"/>
    <w:next w:val="Normal"/>
    <w:link w:val="Ttulo4Car"/>
    <w:pPr>
      <w:keepNext/>
      <w:keepLines/>
      <w:numPr>
        <w:ilvl w:val="3"/>
        <w:numId w:val="1"/>
      </w:numPr>
      <w:spacing w:before="240" w:after="40"/>
      <w:outlineLvl w:val="3"/>
    </w:pPr>
    <w:rPr>
      <w:b/>
      <w:szCs w:val="24"/>
    </w:rPr>
  </w:style>
  <w:style w:type="paragraph" w:styleId="Ttulo5">
    <w:name w:val="heading 5"/>
    <w:basedOn w:val="Normal"/>
    <w:next w:val="Normal"/>
    <w:pPr>
      <w:keepNext/>
      <w:keepLines/>
      <w:numPr>
        <w:ilvl w:val="4"/>
        <w:numId w:val="1"/>
      </w:numPr>
      <w:spacing w:before="220" w:after="40"/>
      <w:outlineLvl w:val="4"/>
    </w:pPr>
    <w:rPr>
      <w:b/>
    </w:rPr>
  </w:style>
  <w:style w:type="paragraph" w:styleId="Ttulo6">
    <w:name w:val="heading 6"/>
    <w:basedOn w:val="Normal"/>
    <w:next w:val="Normal"/>
    <w:pPr>
      <w:keepNext/>
      <w:keepLines/>
      <w:numPr>
        <w:ilvl w:val="5"/>
        <w:numId w:val="1"/>
      </w:numPr>
      <w:spacing w:before="200" w:after="40"/>
      <w:outlineLvl w:val="5"/>
    </w:pPr>
    <w:rPr>
      <w:b/>
      <w:sz w:val="20"/>
      <w:szCs w:val="20"/>
    </w:rPr>
  </w:style>
  <w:style w:type="paragraph" w:styleId="Ttulo7">
    <w:name w:val="heading 7"/>
    <w:basedOn w:val="Normal"/>
    <w:next w:val="Normal"/>
    <w:link w:val="Ttulo7Car"/>
    <w:uiPriority w:val="9"/>
    <w:semiHidden/>
    <w:unhideWhenUsed/>
    <w:qFormat/>
    <w:rsid w:val="004D40DC"/>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4D40DC"/>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4D40DC"/>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pPr>
      <w:keepNext/>
      <w:keepLines/>
      <w:spacing w:before="480"/>
    </w:pPr>
    <w:rPr>
      <w:b/>
      <w:sz w:val="72"/>
      <w:szCs w:val="72"/>
    </w:rPr>
  </w:style>
  <w:style w:type="table" w:customStyle="1" w:styleId="TableNormal0">
    <w:name w:val="Table Normal0"/>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822" w:hanging="361"/>
    </w:pPr>
  </w:style>
  <w:style w:type="paragraph" w:styleId="Prrafodelista">
    <w:name w:val="List Paragraph"/>
    <w:basedOn w:val="Normal"/>
    <w:uiPriority w:val="34"/>
    <w:qFormat/>
    <w:pPr>
      <w:spacing w:before="180"/>
      <w:ind w:left="822" w:hanging="361"/>
    </w:pPr>
  </w:style>
  <w:style w:type="paragraph" w:customStyle="1" w:styleId="TableParagraph">
    <w:name w:val="Table Paragraph"/>
    <w:basedOn w:val="Normal"/>
    <w:uiPriority w:val="1"/>
    <w:qFormat/>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tuloTDC">
    <w:name w:val="TOC Heading"/>
    <w:basedOn w:val="Ttulo1"/>
    <w:next w:val="Normal"/>
    <w:uiPriority w:val="39"/>
    <w:unhideWhenUsed/>
    <w:qFormat/>
    <w:rsid w:val="004D40DC"/>
    <w:pPr>
      <w:keepNext/>
      <w:keepLines/>
      <w:widowControl/>
      <w:spacing w:before="240" w:line="259" w:lineRule="auto"/>
      <w:ind w:left="0" w:right="0"/>
      <w:outlineLvl w:val="9"/>
    </w:pPr>
    <w:rPr>
      <w:rFonts w:asciiTheme="majorHAnsi" w:eastAsiaTheme="majorEastAsia" w:hAnsiTheme="majorHAnsi" w:cstheme="majorBidi"/>
      <w:b w:val="0"/>
      <w:bCs w:val="0"/>
      <w:color w:val="365F91" w:themeColor="accent1" w:themeShade="BF"/>
      <w:sz w:val="32"/>
      <w:szCs w:val="32"/>
      <w:lang w:val="es-CO"/>
    </w:rPr>
  </w:style>
  <w:style w:type="character" w:customStyle="1" w:styleId="Ttulo7Car">
    <w:name w:val="Título 7 Car"/>
    <w:basedOn w:val="Fuentedeprrafopredeter"/>
    <w:link w:val="Ttulo7"/>
    <w:uiPriority w:val="9"/>
    <w:semiHidden/>
    <w:rsid w:val="004D40DC"/>
    <w:rPr>
      <w:rFonts w:asciiTheme="majorHAnsi" w:eastAsiaTheme="majorEastAsia" w:hAnsiTheme="majorHAnsi" w:cstheme="majorBidi"/>
      <w:i/>
      <w:iCs/>
      <w:color w:val="243F60" w:themeColor="accent1" w:themeShade="7F"/>
    </w:rPr>
  </w:style>
  <w:style w:type="character" w:customStyle="1" w:styleId="Ttulo8Car">
    <w:name w:val="Título 8 Car"/>
    <w:basedOn w:val="Fuentedeprrafopredeter"/>
    <w:link w:val="Ttulo8"/>
    <w:uiPriority w:val="9"/>
    <w:semiHidden/>
    <w:rsid w:val="004D40DC"/>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4D40DC"/>
    <w:rPr>
      <w:rFonts w:asciiTheme="majorHAnsi" w:eastAsiaTheme="majorEastAsia" w:hAnsiTheme="majorHAnsi" w:cstheme="majorBidi"/>
      <w:i/>
      <w:iCs/>
      <w:color w:val="272727" w:themeColor="text1" w:themeTint="D8"/>
      <w:sz w:val="21"/>
      <w:szCs w:val="21"/>
    </w:rPr>
  </w:style>
  <w:style w:type="paragraph" w:styleId="TDC1">
    <w:name w:val="toc 1"/>
    <w:basedOn w:val="Normal"/>
    <w:next w:val="Normal"/>
    <w:autoRedefine/>
    <w:uiPriority w:val="39"/>
    <w:unhideWhenUsed/>
    <w:rsid w:val="00247AA6"/>
    <w:pPr>
      <w:spacing w:after="100"/>
    </w:pPr>
  </w:style>
  <w:style w:type="paragraph" w:styleId="TDC2">
    <w:name w:val="toc 2"/>
    <w:basedOn w:val="Normal"/>
    <w:next w:val="Normal"/>
    <w:autoRedefine/>
    <w:uiPriority w:val="39"/>
    <w:unhideWhenUsed/>
    <w:rsid w:val="00247AA6"/>
    <w:pPr>
      <w:spacing w:after="100"/>
      <w:ind w:left="240"/>
    </w:pPr>
  </w:style>
  <w:style w:type="character" w:styleId="Hipervnculo">
    <w:name w:val="Hyperlink"/>
    <w:basedOn w:val="Fuentedeprrafopredeter"/>
    <w:uiPriority w:val="99"/>
    <w:unhideWhenUsed/>
    <w:rsid w:val="00247AA6"/>
    <w:rPr>
      <w:color w:val="0000FF" w:themeColor="hyperlink"/>
      <w:u w:val="single"/>
    </w:rPr>
  </w:style>
  <w:style w:type="paragraph" w:styleId="Encabezado">
    <w:name w:val="header"/>
    <w:basedOn w:val="Normal"/>
    <w:link w:val="EncabezadoCar"/>
    <w:uiPriority w:val="99"/>
    <w:unhideWhenUsed/>
    <w:rsid w:val="00247AA6"/>
    <w:pPr>
      <w:tabs>
        <w:tab w:val="center" w:pos="4419"/>
        <w:tab w:val="right" w:pos="8838"/>
      </w:tabs>
    </w:pPr>
  </w:style>
  <w:style w:type="character" w:customStyle="1" w:styleId="EncabezadoCar">
    <w:name w:val="Encabezado Car"/>
    <w:basedOn w:val="Fuentedeprrafopredeter"/>
    <w:link w:val="Encabezado"/>
    <w:uiPriority w:val="99"/>
    <w:rsid w:val="00247AA6"/>
    <w:rPr>
      <w:rFonts w:ascii="Times New Roman" w:hAnsi="Times New Roman"/>
      <w:sz w:val="24"/>
    </w:rPr>
  </w:style>
  <w:style w:type="paragraph" w:styleId="Piedepgina">
    <w:name w:val="footer"/>
    <w:basedOn w:val="Normal"/>
    <w:link w:val="PiedepginaCar"/>
    <w:unhideWhenUsed/>
    <w:rsid w:val="00247AA6"/>
    <w:pPr>
      <w:tabs>
        <w:tab w:val="center" w:pos="4419"/>
        <w:tab w:val="right" w:pos="8838"/>
      </w:tabs>
    </w:pPr>
  </w:style>
  <w:style w:type="character" w:customStyle="1" w:styleId="PiedepginaCar">
    <w:name w:val="Pie de página Car"/>
    <w:basedOn w:val="Fuentedeprrafopredeter"/>
    <w:link w:val="Piedepgina"/>
    <w:rsid w:val="00247AA6"/>
    <w:rPr>
      <w:rFonts w:ascii="Times New Roman" w:hAnsi="Times New Roman"/>
      <w:sz w:val="24"/>
    </w:rPr>
  </w:style>
  <w:style w:type="character" w:customStyle="1" w:styleId="Ttulo4Car">
    <w:name w:val="Título 4 Car"/>
    <w:basedOn w:val="Fuentedeprrafopredeter"/>
    <w:link w:val="Ttulo4"/>
    <w:rsid w:val="00247AA6"/>
    <w:rPr>
      <w:rFonts w:ascii="Arial" w:hAnsi="Arial"/>
      <w:b/>
      <w:szCs w:val="24"/>
    </w:rPr>
  </w:style>
  <w:style w:type="paragraph" w:customStyle="1" w:styleId="Cuerpo">
    <w:name w:val="Cuerpo"/>
    <w:rsid w:val="00247AA6"/>
    <w:pPr>
      <w:widowControl/>
      <w:pBdr>
        <w:top w:val="nil"/>
        <w:left w:val="nil"/>
        <w:bottom w:val="nil"/>
        <w:right w:val="nil"/>
        <w:between w:val="nil"/>
        <w:bar w:val="nil"/>
      </w:pBdr>
    </w:pPr>
    <w:rPr>
      <w:rFonts w:eastAsia="Arial Unicode MS" w:cs="Arial Unicode MS"/>
      <w:color w:val="000000"/>
      <w:u w:color="000000"/>
      <w:bdr w:val="nil"/>
      <w:lang w:val="es-CO"/>
      <w14:textOutline w14:w="0" w14:cap="flat" w14:cmpd="sng" w14:algn="ctr">
        <w14:noFill/>
        <w14:prstDash w14:val="solid"/>
        <w14:bevel/>
      </w14:textOutline>
    </w:rPr>
  </w:style>
  <w:style w:type="character" w:customStyle="1" w:styleId="Ninguno">
    <w:name w:val="Ninguno"/>
    <w:rsid w:val="00247AA6"/>
  </w:style>
  <w:style w:type="character" w:styleId="Textodelmarcadordeposicin">
    <w:name w:val="Placeholder Text"/>
    <w:basedOn w:val="Fuentedeprrafopredeter"/>
    <w:uiPriority w:val="99"/>
    <w:semiHidden/>
    <w:rsid w:val="00DD4479"/>
    <w:rPr>
      <w:color w:val="808080"/>
    </w:rPr>
  </w:style>
  <w:style w:type="paragraph" w:styleId="Descripcin">
    <w:name w:val="caption"/>
    <w:basedOn w:val="Normal"/>
    <w:next w:val="Normal"/>
    <w:uiPriority w:val="35"/>
    <w:unhideWhenUsed/>
    <w:qFormat/>
    <w:rsid w:val="00234AD1"/>
    <w:pPr>
      <w:spacing w:before="0" w:after="200" w:line="240" w:lineRule="auto"/>
    </w:pPr>
    <w:rPr>
      <w:i/>
      <w:iCs/>
      <w:color w:val="1F497D" w:themeColor="text2"/>
      <w:sz w:val="18"/>
      <w:szCs w:val="18"/>
    </w:rPr>
  </w:style>
  <w:style w:type="character" w:styleId="Nmerodepgina">
    <w:name w:val="page number"/>
    <w:basedOn w:val="Fuentedeprrafopredeter"/>
    <w:uiPriority w:val="99"/>
    <w:semiHidden/>
    <w:unhideWhenUsed/>
    <w:rsid w:val="00076B66"/>
  </w:style>
  <w:style w:type="paragraph" w:styleId="TDC3">
    <w:name w:val="toc 3"/>
    <w:basedOn w:val="Normal"/>
    <w:next w:val="Normal"/>
    <w:autoRedefine/>
    <w:uiPriority w:val="39"/>
    <w:unhideWhenUsed/>
    <w:rsid w:val="002B5C3B"/>
    <w:pPr>
      <w:spacing w:after="100"/>
      <w:ind w:left="440"/>
    </w:pPr>
  </w:style>
  <w:style w:type="character" w:customStyle="1" w:styleId="Ttulo1Car">
    <w:name w:val="Título 1 Car"/>
    <w:basedOn w:val="Fuentedeprrafopredeter"/>
    <w:link w:val="Ttulo1"/>
    <w:uiPriority w:val="9"/>
    <w:rsid w:val="0065485B"/>
    <w:rPr>
      <w:rFonts w:ascii="Arial" w:hAnsi="Arial"/>
      <w:b/>
      <w:bCs/>
    </w:rPr>
  </w:style>
  <w:style w:type="character" w:customStyle="1" w:styleId="Mencionar1">
    <w:name w:val="Mencionar1"/>
    <w:basedOn w:val="Fuentedeprrafopredeter"/>
    <w:uiPriority w:val="99"/>
    <w:unhideWhenUsed/>
    <w:rPr>
      <w:color w:val="2B579A"/>
      <w:shd w:val="clear" w:color="auto" w:fill="E6E6E6"/>
    </w:rPr>
  </w:style>
  <w:style w:type="character" w:styleId="Refdenotaalpie">
    <w:name w:val="footnote reference"/>
    <w:basedOn w:val="Fuentedeprrafopredeter"/>
    <w:uiPriority w:val="99"/>
    <w:semiHidden/>
    <w:unhideWhenUsed/>
    <w:rPr>
      <w:vertAlign w:val="superscript"/>
    </w:rPr>
  </w:style>
  <w:style w:type="character" w:customStyle="1" w:styleId="TextonotapieCar">
    <w:name w:val="Texto nota pie Car"/>
    <w:basedOn w:val="Fuentedeprrafopredeter"/>
    <w:link w:val="Textonotapie"/>
    <w:uiPriority w:val="99"/>
    <w:semiHidden/>
    <w:rPr>
      <w:sz w:val="20"/>
      <w:szCs w:val="20"/>
    </w:rPr>
  </w:style>
  <w:style w:type="paragraph" w:styleId="Textonotapie">
    <w:name w:val="footnote text"/>
    <w:basedOn w:val="Normal"/>
    <w:link w:val="TextonotapieCar"/>
    <w:uiPriority w:val="99"/>
    <w:semiHidden/>
    <w:unhideWhenUsed/>
    <w:pPr>
      <w:spacing w:after="0" w:line="240" w:lineRule="auto"/>
    </w:pPr>
    <w:rPr>
      <w:sz w:val="20"/>
      <w:szCs w:val="20"/>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rFonts w:ascii="Arial" w:hAnsi="Arial"/>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6217CC"/>
    <w:rPr>
      <w:b/>
      <w:bCs/>
    </w:rPr>
  </w:style>
  <w:style w:type="character" w:customStyle="1" w:styleId="AsuntodelcomentarioCar">
    <w:name w:val="Asunto del comentario Car"/>
    <w:basedOn w:val="TextocomentarioCar"/>
    <w:link w:val="Asuntodelcomentario"/>
    <w:uiPriority w:val="99"/>
    <w:semiHidden/>
    <w:rsid w:val="006217CC"/>
    <w:rPr>
      <w:rFonts w:ascii="Arial" w:hAnsi="Arial"/>
      <w:b/>
      <w:bCs/>
      <w:sz w:val="20"/>
      <w:szCs w:val="20"/>
    </w:rPr>
  </w:style>
  <w:style w:type="character" w:customStyle="1" w:styleId="normaltextrun">
    <w:name w:val="normaltextrun"/>
    <w:basedOn w:val="Fuentedeprrafopredeter"/>
    <w:rsid w:val="00AA6E23"/>
  </w:style>
  <w:style w:type="paragraph" w:styleId="NormalWeb">
    <w:name w:val="Normal (Web)"/>
    <w:basedOn w:val="Normal"/>
    <w:uiPriority w:val="99"/>
    <w:unhideWhenUsed/>
    <w:rsid w:val="00AA6E23"/>
    <w:pPr>
      <w:widowControl/>
      <w:spacing w:before="100" w:beforeAutospacing="1" w:after="100" w:afterAutospacing="1" w:line="240" w:lineRule="auto"/>
      <w:jc w:val="left"/>
    </w:pPr>
    <w:rPr>
      <w:rFonts w:ascii="Times New Roman" w:eastAsia="Times New Roman" w:hAnsi="Times New Roman" w:cs="Times New Roman"/>
      <w:sz w:val="24"/>
      <w:szCs w:val="24"/>
      <w:lang w:val="es-CO" w:eastAsia="es-MX"/>
    </w:rPr>
  </w:style>
  <w:style w:type="character" w:styleId="Fuerte">
    <w:name w:val="Strong"/>
    <w:basedOn w:val="Fuentedeprrafopredeter"/>
    <w:uiPriority w:val="22"/>
    <w:qFormat/>
    <w:rsid w:val="004B2F2D"/>
    <w:rPr>
      <w:b/>
      <w:bCs/>
    </w:rPr>
  </w:style>
  <w:style w:type="character" w:customStyle="1" w:styleId="ms-1">
    <w:name w:val="ms-1"/>
    <w:basedOn w:val="Fuentedeprrafopredeter"/>
    <w:rsid w:val="006D04B6"/>
  </w:style>
  <w:style w:type="paragraph" w:styleId="Revisin">
    <w:name w:val="Revision"/>
    <w:hidden/>
    <w:uiPriority w:val="99"/>
    <w:semiHidden/>
    <w:rsid w:val="00480788"/>
    <w:pPr>
      <w:widowControl/>
    </w:pPr>
    <w:rPr>
      <w:rFonts w:ascii="Arial" w:hAnsi="Arial"/>
    </w:rPr>
  </w:style>
  <w:style w:type="paragraph" w:customStyle="1" w:styleId="p1">
    <w:name w:val="p1"/>
    <w:basedOn w:val="Normal"/>
    <w:rsid w:val="00130B83"/>
    <w:pPr>
      <w:widowControl/>
      <w:spacing w:before="0" w:after="0" w:line="240" w:lineRule="auto"/>
      <w:jc w:val="left"/>
    </w:pPr>
    <w:rPr>
      <w:rFonts w:eastAsia="Times New Roman" w:cs="Arial"/>
      <w:color w:val="0B5AB2"/>
      <w:sz w:val="18"/>
      <w:szCs w:val="18"/>
      <w:lang w:val="es-CO" w:eastAsia="es-MX"/>
    </w:rPr>
  </w:style>
  <w:style w:type="table" w:customStyle="1" w:styleId="TableNormal1">
    <w:name w:val="Table Normal1"/>
    <w:rsid w:val="00886D2F"/>
    <w:tblPr>
      <w:tblCellMar>
        <w:top w:w="0" w:type="dxa"/>
        <w:left w:w="0" w:type="dxa"/>
        <w:bottom w:w="0" w:type="dxa"/>
        <w:right w:w="0" w:type="dxa"/>
      </w:tblCellMar>
    </w:tblPr>
  </w:style>
  <w:style w:type="paragraph" w:styleId="Textodeglobo">
    <w:name w:val="Balloon Text"/>
    <w:basedOn w:val="Normal"/>
    <w:link w:val="TextodegloboCar"/>
    <w:uiPriority w:val="99"/>
    <w:semiHidden/>
    <w:unhideWhenUsed/>
    <w:rsid w:val="001123E5"/>
    <w:pPr>
      <w:spacing w:before="0"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123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10921329">
      <w:bodyDiv w:val="1"/>
      <w:marLeft w:val="0"/>
      <w:marRight w:val="0"/>
      <w:marTop w:val="0"/>
      <w:marBottom w:val="0"/>
      <w:divBdr>
        <w:top w:val="none" w:sz="0" w:space="0" w:color="auto"/>
        <w:left w:val="none" w:sz="0" w:space="0" w:color="auto"/>
        <w:bottom w:val="none" w:sz="0" w:space="0" w:color="auto"/>
        <w:right w:val="none" w:sz="0" w:space="0" w:color="auto"/>
      </w:divBdr>
    </w:div>
    <w:div w:id="915239579">
      <w:bodyDiv w:val="1"/>
      <w:marLeft w:val="0"/>
      <w:marRight w:val="0"/>
      <w:marTop w:val="0"/>
      <w:marBottom w:val="0"/>
      <w:divBdr>
        <w:top w:val="none" w:sz="0" w:space="0" w:color="auto"/>
        <w:left w:val="none" w:sz="0" w:space="0" w:color="auto"/>
        <w:bottom w:val="none" w:sz="0" w:space="0" w:color="auto"/>
        <w:right w:val="none" w:sz="0" w:space="0" w:color="auto"/>
      </w:divBdr>
    </w:div>
    <w:div w:id="1085684212">
      <w:bodyDiv w:val="1"/>
      <w:marLeft w:val="0"/>
      <w:marRight w:val="0"/>
      <w:marTop w:val="0"/>
      <w:marBottom w:val="0"/>
      <w:divBdr>
        <w:top w:val="none" w:sz="0" w:space="0" w:color="auto"/>
        <w:left w:val="none" w:sz="0" w:space="0" w:color="auto"/>
        <w:bottom w:val="none" w:sz="0" w:space="0" w:color="auto"/>
        <w:right w:val="none" w:sz="0" w:space="0" w:color="auto"/>
      </w:divBdr>
    </w:div>
    <w:div w:id="1507672258">
      <w:bodyDiv w:val="1"/>
      <w:marLeft w:val="0"/>
      <w:marRight w:val="0"/>
      <w:marTop w:val="0"/>
      <w:marBottom w:val="0"/>
      <w:divBdr>
        <w:top w:val="none" w:sz="0" w:space="0" w:color="auto"/>
        <w:left w:val="none" w:sz="0" w:space="0" w:color="auto"/>
        <w:bottom w:val="none" w:sz="0" w:space="0" w:color="auto"/>
        <w:right w:val="none" w:sz="0" w:space="0" w:color="auto"/>
      </w:divBdr>
    </w:div>
    <w:div w:id="1548107074">
      <w:bodyDiv w:val="1"/>
      <w:marLeft w:val="0"/>
      <w:marRight w:val="0"/>
      <w:marTop w:val="0"/>
      <w:marBottom w:val="0"/>
      <w:divBdr>
        <w:top w:val="none" w:sz="0" w:space="0" w:color="auto"/>
        <w:left w:val="none" w:sz="0" w:space="0" w:color="auto"/>
        <w:bottom w:val="none" w:sz="0" w:space="0" w:color="auto"/>
        <w:right w:val="none" w:sz="0" w:space="0" w:color="auto"/>
      </w:divBdr>
    </w:div>
    <w:div w:id="1557811837">
      <w:bodyDiv w:val="1"/>
      <w:marLeft w:val="0"/>
      <w:marRight w:val="0"/>
      <w:marTop w:val="0"/>
      <w:marBottom w:val="0"/>
      <w:divBdr>
        <w:top w:val="none" w:sz="0" w:space="0" w:color="auto"/>
        <w:left w:val="none" w:sz="0" w:space="0" w:color="auto"/>
        <w:bottom w:val="none" w:sz="0" w:space="0" w:color="auto"/>
        <w:right w:val="none" w:sz="0" w:space="0" w:color="auto"/>
      </w:divBdr>
    </w:div>
    <w:div w:id="1701055032">
      <w:bodyDiv w:val="1"/>
      <w:marLeft w:val="0"/>
      <w:marRight w:val="0"/>
      <w:marTop w:val="0"/>
      <w:marBottom w:val="0"/>
      <w:divBdr>
        <w:top w:val="none" w:sz="0" w:space="0" w:color="auto"/>
        <w:left w:val="none" w:sz="0" w:space="0" w:color="auto"/>
        <w:bottom w:val="none" w:sz="0" w:space="0" w:color="auto"/>
        <w:right w:val="none" w:sz="0" w:space="0" w:color="auto"/>
      </w:divBdr>
    </w:div>
    <w:div w:id="1904024849">
      <w:bodyDiv w:val="1"/>
      <w:marLeft w:val="0"/>
      <w:marRight w:val="0"/>
      <w:marTop w:val="0"/>
      <w:marBottom w:val="0"/>
      <w:divBdr>
        <w:top w:val="none" w:sz="0" w:space="0" w:color="auto"/>
        <w:left w:val="none" w:sz="0" w:space="0" w:color="auto"/>
        <w:bottom w:val="none" w:sz="0" w:space="0" w:color="auto"/>
        <w:right w:val="none" w:sz="0" w:space="0" w:color="auto"/>
      </w:divBdr>
    </w:div>
    <w:div w:id="20605487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20/10/relationships/intelligence" Target="intelligence2.xml"/><Relationship Id="rId10" Type="http://schemas.openxmlformats.org/officeDocument/2006/relationships/hyperlink" Target="mailto:santiago.vargas@habitatbogota.gov.co" TargetMode="External"/><Relationship Id="rId4" Type="http://schemas.openxmlformats.org/officeDocument/2006/relationships/styles" Target="styles.xml"/><Relationship Id="rId9" Type="http://schemas.openxmlformats.org/officeDocument/2006/relationships/hyperlink" Target="mailto:Catalina.castano@habitatbogota.gov.c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7o+sAa0cC0eZRggeTKOqk/oXwA==">CgMxLjA4AHIhMVhNU1NMQ2d6Wm5YT2h5OVZQRm1PUnpUQ2NfeDdubGFr</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F776048-3C3F-46D1-835A-735C22A94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6342</Words>
  <Characters>34885</Characters>
  <Application>Microsoft Office Word</Application>
  <DocSecurity>0</DocSecurity>
  <Lines>290</Lines>
  <Paragraphs>82</Paragraphs>
  <ScaleCrop>false</ScaleCrop>
  <Company>HP</Company>
  <LinksUpToDate>false</LinksUpToDate>
  <CharactersWithSpaces>41145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Ambar Barbosa</dc:creator>
  <cp:keywords/>
  <cp:lastModifiedBy>Catalina Castaño Granda</cp:lastModifiedBy>
  <cp:revision>3</cp:revision>
  <dcterms:created xsi:type="dcterms:W3CDTF">2026-07-03T19:02:00Z</dcterms:created>
  <dcterms:modified xsi:type="dcterms:W3CDTF">2026-07-07T16:54:00Z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2023-06-09T00:00:00Z</vt:filetime>
  </property>
  <property fmtid="{D5CDD505-2E9C-101B-9397-08002B2CF9AE}" pid="3" name="Creator">
    <vt:lpwstr>Microsoft® Word 2016</vt:lpwstr>
  </property>
  <property fmtid="{D5CDD505-2E9C-101B-9397-08002B2CF9AE}" pid="4" name="LastSaved">
    <vt:filetime>2023-06-27T00:00:00Z</vt:filetime>
  </property>
</Properties>
</file>